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media/image1.jpeg" ContentType="image/jpe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40" w:before="0" w:after="202"/>
        <w:ind w:left="-115" w:right="0" w:hanging="0"/>
        <w:jc w:val="center"/>
        <w:rPr>
          <w:rFonts w:ascii="Calibri" w:hAnsi="Calibri"/>
          <w:sz w:val="26"/>
          <w:szCs w:val="26"/>
        </w:rPr>
      </w:pPr>
      <w:r>
        <w:rPr>
          <w:rFonts w:ascii="Calibri" w:hAnsi="Calibri"/>
          <w:sz w:val="26"/>
          <w:szCs w:val="26"/>
        </w:rPr>
      </w:r>
    </w:p>
    <w:p>
      <w:pPr>
        <w:pStyle w:val="Normal"/>
        <w:bidi w:val="0"/>
        <w:spacing w:lineRule="auto" w:line="240" w:before="0" w:after="202"/>
        <w:ind w:left="-115" w:right="0" w:hanging="0"/>
        <w:jc w:val="center"/>
        <w:rPr/>
      </w:pPr>
      <w:r>
        <w:rPr/>
        <w:drawing>
          <wp:inline distT="0" distB="0" distL="0" distR="0">
            <wp:extent cx="2538095" cy="715645"/>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2538095" cy="715645"/>
                    </a:xfrm>
                    <a:prstGeom prst="rect">
                      <a:avLst/>
                    </a:prstGeom>
                  </pic:spPr>
                </pic:pic>
              </a:graphicData>
            </a:graphic>
          </wp:inline>
        </w:drawing>
      </w:r>
    </w:p>
    <w:p>
      <w:pPr>
        <w:pStyle w:val="Normal"/>
        <w:bidi w:val="0"/>
        <w:spacing w:lineRule="auto" w:line="240" w:before="0" w:after="202"/>
        <w:ind w:left="-230" w:right="0" w:hanging="0"/>
        <w:jc w:val="center"/>
        <w:rPr/>
      </w:pPr>
      <w:r>
        <w:rPr>
          <w:rFonts w:ascii="Calibri" w:hAnsi="Calibri"/>
          <w:sz w:val="26"/>
          <w:szCs w:val="26"/>
        </w:rPr>
        <w:t>County Community College</w:t>
        <w:br/>
        <w:t xml:space="preserve">Michael J. Grant Campus </w:t>
      </w:r>
    </w:p>
    <w:p>
      <w:pPr>
        <w:pStyle w:val="Normal"/>
        <w:jc w:val="center"/>
        <w:rPr/>
      </w:pPr>
      <w:r>
        <w:rPr>
          <w:rFonts w:ascii="Calibri" w:hAnsi="Calibri"/>
          <w:sz w:val="48"/>
          <w:szCs w:val="48"/>
        </w:rPr>
        <w:t>Academic Assembly</w:t>
      </w:r>
    </w:p>
    <w:p>
      <w:pPr>
        <w:pStyle w:val="Normal"/>
        <w:jc w:val="center"/>
        <w:rPr/>
      </w:pPr>
      <w:r>
        <w:rPr>
          <w:rFonts w:ascii="Calibri" w:hAnsi="Calibri"/>
          <w:b/>
          <w:bCs/>
          <w:sz w:val="24"/>
          <w:szCs w:val="24"/>
        </w:rPr>
        <w:t>Resolution 2021-02 [21]</w:t>
      </w:r>
    </w:p>
    <w:p>
      <w:pPr>
        <w:pStyle w:val="Normal"/>
        <w:jc w:val="center"/>
        <w:rPr>
          <w:rFonts w:ascii="Calibri" w:hAnsi="Calibri"/>
          <w:b/>
          <w:b/>
          <w:bCs/>
          <w:sz w:val="24"/>
          <w:szCs w:val="24"/>
        </w:rPr>
      </w:pPr>
      <w:r>
        <w:rPr>
          <w:rFonts w:ascii="Calibri" w:hAnsi="Calibri"/>
          <w:b/>
          <w:bCs/>
          <w:sz w:val="24"/>
          <w:szCs w:val="24"/>
        </w:rPr>
      </w:r>
    </w:p>
    <w:p>
      <w:pPr>
        <w:pStyle w:val="Normal"/>
        <w:jc w:val="center"/>
        <w:rPr/>
      </w:pPr>
      <w:r>
        <w:rPr>
          <w:rFonts w:ascii="Calibri" w:hAnsi="Calibri"/>
          <w:b/>
          <w:bCs/>
          <w:sz w:val="32"/>
          <w:szCs w:val="32"/>
        </w:rPr>
        <w:t>Endorsing FCCC EC</w:t>
      </w:r>
    </w:p>
    <w:p>
      <w:pPr>
        <w:pStyle w:val="Normal"/>
        <w:jc w:val="center"/>
        <w:rPr>
          <w:i w:val="false"/>
          <w:i w:val="false"/>
          <w:iCs w:val="false"/>
        </w:rPr>
      </w:pPr>
      <w:r>
        <w:rPr>
          <w:rFonts w:ascii="Calibri" w:hAnsi="Calibri"/>
          <w:b/>
          <w:bCs/>
          <w:i w:val="false"/>
          <w:iCs w:val="false"/>
          <w:sz w:val="32"/>
          <w:szCs w:val="32"/>
        </w:rPr>
        <w:t>Resolution E1.2020-2021 on</w:t>
      </w:r>
    </w:p>
    <w:p>
      <w:pPr>
        <w:pStyle w:val="Normal"/>
        <w:jc w:val="center"/>
        <w:rPr/>
      </w:pPr>
      <w:r>
        <w:rPr>
          <w:rStyle w:val="Emphasis"/>
          <w:rFonts w:ascii="Calibri" w:hAnsi="Calibri"/>
          <w:b/>
          <w:bCs/>
          <w:sz w:val="32"/>
          <w:szCs w:val="32"/>
        </w:rPr>
        <w:t>SUNY General Education Framework</w:t>
      </w:r>
    </w:p>
    <w:p>
      <w:pPr>
        <w:pStyle w:val="Normal"/>
        <w:jc w:val="both"/>
        <w:rPr>
          <w:rFonts w:ascii="Calibri" w:hAnsi="Calibri"/>
          <w:sz w:val="24"/>
          <w:szCs w:val="24"/>
        </w:rPr>
      </w:pPr>
      <w:r>
        <w:rPr>
          <w:rFonts w:ascii="Calibri" w:hAnsi="Calibri"/>
          <w:sz w:val="24"/>
          <w:szCs w:val="24"/>
        </w:rPr>
      </w:r>
    </w:p>
    <w:p>
      <w:pPr>
        <w:pStyle w:val="Normal"/>
        <w:widowControl/>
        <w:pBdr>
          <w:bottom w:val="single" w:sz="8" w:space="2" w:color="000000"/>
        </w:pBdr>
        <w:overflowPunct w:val="false"/>
        <w:bidi w:val="0"/>
        <w:ind w:left="0" w:right="0" w:hanging="0"/>
        <w:jc w:val="both"/>
        <w:rPr/>
      </w:pPr>
      <w:r>
        <w:rPr>
          <w:rFonts w:ascii="Calibri" w:hAnsi="Calibri"/>
          <w:b/>
          <w:bCs/>
        </w:rPr>
        <w:t>Whereas</w:t>
      </w:r>
      <w:r>
        <w:rPr>
          <w:rFonts w:ascii="Calibri" w:hAnsi="Calibri"/>
        </w:rPr>
        <w:t xml:space="preserve"> the Executive Committee of the Faculty Council of Community Colleges (FCCC EC) passed Resolution </w:t>
      </w:r>
      <w:bookmarkStart w:id="0" w:name="__DdeLink__3538_666250801"/>
      <w:r>
        <w:rPr>
          <w:rFonts w:ascii="Calibri" w:hAnsi="Calibri"/>
        </w:rPr>
        <w:t>E1.2020-2021</w:t>
      </w:r>
      <w:bookmarkEnd w:id="0"/>
      <w:r>
        <w:rPr>
          <w:rFonts w:ascii="Calibri" w:hAnsi="Calibri"/>
        </w:rPr>
        <w:t xml:space="preserve"> </w:t>
      </w:r>
      <w:bookmarkStart w:id="1" w:name="__DdeLink__3955_666250801"/>
      <w:r>
        <w:rPr>
          <w:rFonts w:ascii="Calibri" w:hAnsi="Calibri"/>
        </w:rPr>
        <w:t xml:space="preserve">on </w:t>
      </w:r>
      <w:r>
        <w:rPr>
          <w:rFonts w:ascii="Calibri" w:hAnsi="Calibri"/>
          <w:i/>
          <w:iCs/>
        </w:rPr>
        <w:t>SUNY General Education Framework</w:t>
      </w:r>
      <w:bookmarkEnd w:id="1"/>
      <w:r>
        <w:rPr>
          <w:rFonts w:ascii="Calibri" w:hAnsi="Calibri"/>
        </w:rPr>
        <w:t xml:space="preserve"> (appended below) on April 20, 2021;  and</w:t>
      </w:r>
    </w:p>
    <w:p>
      <w:pPr>
        <w:pStyle w:val="Normal"/>
        <w:widowControl/>
        <w:pBdr>
          <w:bottom w:val="single" w:sz="8" w:space="2" w:color="000000"/>
        </w:pBdr>
        <w:overflowPunct w:val="false"/>
        <w:bidi w:val="0"/>
        <w:ind w:left="0" w:right="0" w:hanging="0"/>
        <w:jc w:val="both"/>
        <w:rPr>
          <w:rFonts w:ascii="Calibri" w:hAnsi="Calibri"/>
        </w:rPr>
      </w:pPr>
      <w:r>
        <w:rPr>
          <w:rFonts w:ascii="Calibri" w:hAnsi="Calibri"/>
        </w:rPr>
      </w:r>
    </w:p>
    <w:p>
      <w:pPr>
        <w:pStyle w:val="Normal"/>
        <w:widowControl/>
        <w:pBdr>
          <w:bottom w:val="single" w:sz="8" w:space="2" w:color="000000"/>
        </w:pBdr>
        <w:overflowPunct w:val="false"/>
        <w:bidi w:val="0"/>
        <w:ind w:left="0" w:right="0" w:hanging="0"/>
        <w:jc w:val="both"/>
        <w:rPr/>
      </w:pPr>
      <w:r>
        <w:rPr>
          <w:rFonts w:ascii="Calibri" w:hAnsi="Calibri"/>
          <w:b/>
          <w:bCs/>
        </w:rPr>
        <w:t>Whereas</w:t>
      </w:r>
      <w:r>
        <w:rPr>
          <w:rFonts w:ascii="Calibri" w:hAnsi="Calibri"/>
        </w:rPr>
        <w:t xml:space="preserve"> the Grant Campus Academic Assembly supports the FCCC EC recommendations regarding SUNY General Education framework; therefore be it</w:t>
      </w:r>
    </w:p>
    <w:p>
      <w:pPr>
        <w:pStyle w:val="Normal"/>
        <w:widowControl/>
        <w:pBdr>
          <w:bottom w:val="single" w:sz="8" w:space="2" w:color="000000"/>
        </w:pBdr>
        <w:overflowPunct w:val="false"/>
        <w:bidi w:val="0"/>
        <w:ind w:left="0" w:right="0" w:hanging="0"/>
        <w:jc w:val="both"/>
        <w:rPr>
          <w:rFonts w:ascii="Calibri" w:hAnsi="Calibri"/>
        </w:rPr>
      </w:pPr>
      <w:r>
        <w:rPr>
          <w:rFonts w:ascii="Calibri" w:hAnsi="Calibri"/>
        </w:rPr>
      </w:r>
    </w:p>
    <w:p>
      <w:pPr>
        <w:pStyle w:val="Normal"/>
        <w:widowControl/>
        <w:pBdr>
          <w:bottom w:val="single" w:sz="8" w:space="2" w:color="000000"/>
        </w:pBdr>
        <w:overflowPunct w:val="false"/>
        <w:bidi w:val="0"/>
        <w:ind w:left="0" w:right="0" w:hanging="0"/>
        <w:jc w:val="both"/>
        <w:rPr>
          <w:rFonts w:ascii="Calibri" w:hAnsi="Calibri"/>
        </w:rPr>
      </w:pPr>
      <w:r>
        <w:rPr>
          <w:rFonts w:ascii="Calibri" w:hAnsi="Calibri"/>
        </w:rPr>
      </w:r>
    </w:p>
    <w:p>
      <w:pPr>
        <w:pStyle w:val="Normal"/>
        <w:widowControl/>
        <w:pBdr>
          <w:bottom w:val="single" w:sz="8" w:space="2" w:color="000000"/>
        </w:pBdr>
        <w:overflowPunct w:val="false"/>
        <w:bidi w:val="0"/>
        <w:ind w:left="0" w:right="0" w:hanging="0"/>
        <w:jc w:val="both"/>
        <w:rPr/>
      </w:pPr>
      <w:r>
        <w:rPr>
          <w:rFonts w:ascii="Calibri" w:hAnsi="Calibri"/>
          <w:b/>
          <w:bCs/>
          <w:sz w:val="24"/>
          <w:szCs w:val="24"/>
        </w:rPr>
        <w:t>Resolved</w:t>
      </w:r>
      <w:r>
        <w:rPr>
          <w:rFonts w:ascii="Calibri" w:hAnsi="Calibri"/>
          <w:sz w:val="24"/>
          <w:szCs w:val="24"/>
        </w:rPr>
        <w:t xml:space="preserve"> that the Grant Campus Academic Assembly endorses FCCC Resolution  E1.2020-2021  on </w:t>
      </w:r>
      <w:r>
        <w:rPr>
          <w:rFonts w:ascii="Calibri" w:hAnsi="Calibri"/>
          <w:i/>
          <w:iCs/>
          <w:sz w:val="24"/>
          <w:szCs w:val="24"/>
        </w:rPr>
        <w:t>SUNY General Education Framework.</w:t>
      </w:r>
    </w:p>
    <w:p>
      <w:pPr>
        <w:pStyle w:val="Normal"/>
        <w:widowControl/>
        <w:pBdr>
          <w:bottom w:val="single" w:sz="8" w:space="2" w:color="000000"/>
        </w:pBdr>
        <w:overflowPunct w:val="false"/>
        <w:bidi w:val="0"/>
        <w:ind w:left="0" w:right="0" w:hanging="0"/>
        <w:jc w:val="both"/>
        <w:rPr>
          <w:rFonts w:ascii="Calibri" w:hAnsi="Calibri"/>
          <w:i/>
          <w:i/>
          <w:iCs/>
          <w:sz w:val="24"/>
          <w:szCs w:val="24"/>
        </w:rPr>
      </w:pPr>
      <w:r>
        <w:rPr>
          <w:rFonts w:ascii="Calibri" w:hAnsi="Calibri"/>
          <w:i/>
          <w:iCs/>
          <w:sz w:val="24"/>
          <w:szCs w:val="24"/>
        </w:rPr>
      </w:r>
    </w:p>
    <w:p>
      <w:pPr>
        <w:pStyle w:val="Normal"/>
        <w:widowControl/>
        <w:pBdr>
          <w:bottom w:val="single" w:sz="8" w:space="2" w:color="000000"/>
        </w:pBdr>
        <w:overflowPunct w:val="false"/>
        <w:bidi w:val="0"/>
        <w:ind w:left="0" w:right="0" w:hanging="0"/>
        <w:jc w:val="both"/>
        <w:rPr>
          <w:rFonts w:ascii="Calibri" w:hAnsi="Calibri"/>
          <w:i/>
          <w:i/>
          <w:iCs/>
          <w:sz w:val="24"/>
          <w:szCs w:val="24"/>
        </w:rPr>
      </w:pPr>
      <w:r>
        <w:rPr>
          <w:rFonts w:ascii="Calibri" w:hAnsi="Calibri"/>
          <w:i/>
          <w:iCs/>
          <w:sz w:val="24"/>
          <w:szCs w:val="24"/>
        </w:rPr>
      </w:r>
    </w:p>
    <w:p>
      <w:pPr>
        <w:pStyle w:val="Normal"/>
        <w:widowControl/>
        <w:pBdr>
          <w:bottom w:val="single" w:sz="8" w:space="2" w:color="000000"/>
        </w:pBdr>
        <w:overflowPunct w:val="false"/>
        <w:bidi w:val="0"/>
        <w:ind w:left="0" w:right="0" w:hanging="0"/>
        <w:jc w:val="both"/>
        <w:rPr>
          <w:rFonts w:ascii="Calibri" w:hAnsi="Calibri"/>
          <w:i/>
          <w:i/>
          <w:iCs/>
          <w:sz w:val="24"/>
          <w:szCs w:val="24"/>
        </w:rPr>
      </w:pPr>
      <w:r>
        <w:rPr>
          <w:rFonts w:ascii="Calibri" w:hAnsi="Calibri"/>
          <w:i/>
          <w:iCs/>
          <w:sz w:val="24"/>
          <w:szCs w:val="24"/>
        </w:rPr>
      </w:r>
    </w:p>
    <w:p>
      <w:pPr>
        <w:pStyle w:val="Normal"/>
        <w:widowControl/>
        <w:pBdr>
          <w:bottom w:val="single" w:sz="8" w:space="2" w:color="000000"/>
        </w:pBdr>
        <w:overflowPunct w:val="false"/>
        <w:bidi w:val="0"/>
        <w:ind w:left="0" w:right="0" w:hanging="0"/>
        <w:jc w:val="both"/>
        <w:rPr>
          <w:rFonts w:ascii="Calibri" w:hAnsi="Calibri"/>
          <w:i/>
          <w:i/>
          <w:iCs/>
          <w:sz w:val="24"/>
          <w:szCs w:val="24"/>
        </w:rPr>
      </w:pPr>
      <w:r>
        <w:rPr>
          <w:rFonts w:ascii="Calibri" w:hAnsi="Calibri"/>
          <w:i/>
          <w:iCs/>
          <w:sz w:val="24"/>
          <w:szCs w:val="24"/>
        </w:rPr>
      </w:r>
    </w:p>
    <w:p>
      <w:pPr>
        <w:pStyle w:val="Normal"/>
        <w:widowControl/>
        <w:pBdr>
          <w:bottom w:val="single" w:sz="8" w:space="2" w:color="000000"/>
        </w:pBdr>
        <w:overflowPunct w:val="false"/>
        <w:bidi w:val="0"/>
        <w:ind w:left="0" w:right="0" w:hanging="0"/>
        <w:jc w:val="both"/>
        <w:rPr>
          <w:rFonts w:ascii="Calibri" w:hAnsi="Calibri"/>
          <w:i/>
          <w:i/>
          <w:iCs/>
          <w:sz w:val="24"/>
          <w:szCs w:val="24"/>
        </w:rPr>
      </w:pPr>
      <w:r>
        <w:rPr>
          <w:rFonts w:ascii="Calibri" w:hAnsi="Calibri"/>
          <w:i/>
          <w:iCs/>
          <w:sz w:val="24"/>
          <w:szCs w:val="24"/>
        </w:rPr>
      </w:r>
    </w:p>
    <w:p>
      <w:pPr>
        <w:pStyle w:val="Normal"/>
        <w:widowControl/>
        <w:pBdr>
          <w:bottom w:val="single" w:sz="8" w:space="2" w:color="000000"/>
        </w:pBdr>
        <w:overflowPunct w:val="false"/>
        <w:bidi w:val="0"/>
        <w:ind w:left="0" w:right="0" w:hanging="0"/>
        <w:jc w:val="both"/>
        <w:rPr>
          <w:rFonts w:ascii="Calibri" w:hAnsi="Calibri"/>
          <w:i/>
          <w:i/>
          <w:iCs/>
          <w:sz w:val="24"/>
          <w:szCs w:val="24"/>
        </w:rPr>
      </w:pPr>
      <w:r>
        <w:rPr>
          <w:rFonts w:ascii="Calibri" w:hAnsi="Calibri"/>
          <w:i/>
          <w:iCs/>
          <w:sz w:val="24"/>
          <w:szCs w:val="24"/>
        </w:rPr>
      </w:r>
    </w:p>
    <w:p>
      <w:pPr>
        <w:pStyle w:val="Normal"/>
        <w:widowControl/>
        <w:pBdr>
          <w:bottom w:val="single" w:sz="8" w:space="2" w:color="000000"/>
        </w:pBdr>
        <w:overflowPunct w:val="false"/>
        <w:bidi w:val="0"/>
        <w:ind w:left="0" w:right="0" w:hanging="0"/>
        <w:jc w:val="both"/>
        <w:rPr>
          <w:rFonts w:ascii="Calibri" w:hAnsi="Calibri"/>
          <w:i/>
          <w:i/>
          <w:iCs/>
          <w:sz w:val="24"/>
          <w:szCs w:val="24"/>
        </w:rPr>
      </w:pPr>
      <w:r>
        <w:rPr>
          <w:rFonts w:ascii="Calibri" w:hAnsi="Calibri"/>
          <w:i/>
          <w:iCs/>
          <w:sz w:val="24"/>
          <w:szCs w:val="24"/>
        </w:rPr>
      </w:r>
    </w:p>
    <w:p>
      <w:pPr>
        <w:pStyle w:val="Normal"/>
        <w:widowControl/>
        <w:pBdr>
          <w:bottom w:val="single" w:sz="8" w:space="2" w:color="000000"/>
        </w:pBdr>
        <w:overflowPunct w:val="false"/>
        <w:bidi w:val="0"/>
        <w:ind w:left="0" w:right="0" w:hanging="0"/>
        <w:jc w:val="both"/>
        <w:rPr>
          <w:rFonts w:ascii="Calibri" w:hAnsi="Calibri"/>
          <w:i/>
          <w:i/>
          <w:iCs/>
          <w:sz w:val="24"/>
          <w:szCs w:val="24"/>
        </w:rPr>
      </w:pPr>
      <w:r>
        <w:rPr>
          <w:rFonts w:ascii="Calibri" w:hAnsi="Calibri"/>
          <w:i/>
          <w:iCs/>
          <w:sz w:val="24"/>
          <w:szCs w:val="24"/>
        </w:rPr>
      </w:r>
    </w:p>
    <w:p>
      <w:pPr>
        <w:pStyle w:val="Normal"/>
        <w:widowControl/>
        <w:pBdr>
          <w:bottom w:val="single" w:sz="8" w:space="2" w:color="000000"/>
        </w:pBdr>
        <w:overflowPunct w:val="false"/>
        <w:bidi w:val="0"/>
        <w:ind w:left="0" w:right="0" w:hanging="0"/>
        <w:jc w:val="both"/>
        <w:rPr>
          <w:rFonts w:ascii="Calibri" w:hAnsi="Calibri"/>
          <w:i/>
          <w:i/>
          <w:iCs/>
          <w:sz w:val="24"/>
          <w:szCs w:val="24"/>
        </w:rPr>
      </w:pPr>
      <w:r>
        <w:rPr>
          <w:rFonts w:ascii="Calibri" w:hAnsi="Calibri"/>
          <w:i/>
          <w:iCs/>
          <w:sz w:val="24"/>
          <w:szCs w:val="24"/>
        </w:rPr>
      </w:r>
    </w:p>
    <w:p>
      <w:pPr>
        <w:pStyle w:val="Normal"/>
        <w:widowControl/>
        <w:pBdr>
          <w:bottom w:val="single" w:sz="8" w:space="2" w:color="000000"/>
        </w:pBdr>
        <w:overflowPunct w:val="false"/>
        <w:bidi w:val="0"/>
        <w:ind w:left="0" w:right="0" w:hanging="0"/>
        <w:jc w:val="both"/>
        <w:rPr>
          <w:rFonts w:ascii="Calibri" w:hAnsi="Calibri"/>
          <w:i/>
          <w:i/>
          <w:iCs/>
          <w:sz w:val="24"/>
          <w:szCs w:val="24"/>
        </w:rPr>
      </w:pPr>
      <w:r>
        <w:rPr>
          <w:rFonts w:ascii="Calibri" w:hAnsi="Calibri"/>
          <w:i/>
          <w:iCs/>
          <w:sz w:val="24"/>
          <w:szCs w:val="24"/>
        </w:rPr>
      </w:r>
    </w:p>
    <w:p>
      <w:pPr>
        <w:pStyle w:val="Normal"/>
        <w:widowControl/>
        <w:pBdr>
          <w:bottom w:val="single" w:sz="8" w:space="2" w:color="000000"/>
        </w:pBdr>
        <w:overflowPunct w:val="false"/>
        <w:bidi w:val="0"/>
        <w:ind w:left="0" w:right="0" w:hanging="0"/>
        <w:jc w:val="both"/>
        <w:rPr>
          <w:rFonts w:ascii="Calibri" w:hAnsi="Calibri"/>
          <w:i/>
          <w:i/>
          <w:iCs/>
          <w:sz w:val="24"/>
          <w:szCs w:val="24"/>
        </w:rPr>
      </w:pPr>
      <w:r>
        <w:rPr>
          <w:rFonts w:ascii="Calibri" w:hAnsi="Calibri"/>
          <w:i/>
          <w:iCs/>
          <w:sz w:val="24"/>
          <w:szCs w:val="24"/>
        </w:rPr>
      </w:r>
    </w:p>
    <w:p>
      <w:pPr>
        <w:pStyle w:val="Normal"/>
        <w:widowControl/>
        <w:pBdr>
          <w:bottom w:val="single" w:sz="8" w:space="2" w:color="000000"/>
        </w:pBdr>
        <w:overflowPunct w:val="false"/>
        <w:bidi w:val="0"/>
        <w:ind w:left="0" w:right="0" w:hanging="0"/>
        <w:jc w:val="both"/>
        <w:rPr>
          <w:rFonts w:ascii="Calibri" w:hAnsi="Calibri"/>
          <w:i/>
          <w:i/>
          <w:iCs/>
          <w:sz w:val="24"/>
          <w:szCs w:val="24"/>
        </w:rPr>
      </w:pPr>
      <w:r>
        <w:rPr>
          <w:rFonts w:ascii="Calibri" w:hAnsi="Calibri"/>
          <w:i/>
          <w:iCs/>
          <w:sz w:val="24"/>
          <w:szCs w:val="24"/>
        </w:rPr>
      </w:r>
    </w:p>
    <w:p>
      <w:pPr>
        <w:pStyle w:val="Normal"/>
        <w:widowControl/>
        <w:pBdr>
          <w:bottom w:val="single" w:sz="8" w:space="2" w:color="000000"/>
        </w:pBdr>
        <w:overflowPunct w:val="false"/>
        <w:bidi w:val="0"/>
        <w:ind w:left="0" w:right="0" w:hanging="0"/>
        <w:jc w:val="both"/>
        <w:rPr>
          <w:rFonts w:ascii="Calibri" w:hAnsi="Calibri"/>
          <w:i/>
          <w:i/>
          <w:iCs/>
          <w:sz w:val="24"/>
          <w:szCs w:val="24"/>
        </w:rPr>
      </w:pPr>
      <w:r>
        <w:rPr>
          <w:rFonts w:ascii="Calibri" w:hAnsi="Calibri"/>
          <w:i/>
          <w:iCs/>
          <w:sz w:val="24"/>
          <w:szCs w:val="24"/>
        </w:rPr>
      </w:r>
    </w:p>
    <w:p>
      <w:pPr>
        <w:pStyle w:val="Normal"/>
        <w:widowControl/>
        <w:pBdr>
          <w:bottom w:val="single" w:sz="8" w:space="2" w:color="000000"/>
        </w:pBdr>
        <w:overflowPunct w:val="false"/>
        <w:bidi w:val="0"/>
        <w:ind w:left="0" w:right="0" w:hanging="0"/>
        <w:jc w:val="both"/>
        <w:rPr>
          <w:rFonts w:ascii="Calibri" w:hAnsi="Calibri"/>
          <w:i/>
          <w:i/>
          <w:iCs/>
          <w:sz w:val="24"/>
          <w:szCs w:val="24"/>
        </w:rPr>
      </w:pPr>
      <w:r>
        <w:rPr>
          <w:rFonts w:ascii="Calibri" w:hAnsi="Calibri"/>
          <w:i/>
          <w:iCs/>
          <w:sz w:val="24"/>
          <w:szCs w:val="24"/>
        </w:rPr>
      </w:r>
    </w:p>
    <w:p>
      <w:pPr>
        <w:pStyle w:val="Normal"/>
        <w:widowControl/>
        <w:pBdr>
          <w:bottom w:val="single" w:sz="8" w:space="2" w:color="000000"/>
        </w:pBdr>
        <w:overflowPunct w:val="false"/>
        <w:bidi w:val="0"/>
        <w:ind w:left="0" w:right="0" w:hanging="0"/>
        <w:jc w:val="both"/>
        <w:rPr>
          <w:rFonts w:ascii="Calibri" w:hAnsi="Calibri"/>
          <w:i/>
          <w:i/>
          <w:iCs/>
          <w:sz w:val="24"/>
          <w:szCs w:val="24"/>
        </w:rPr>
      </w:pPr>
      <w:r>
        <w:rPr>
          <w:rFonts w:ascii="Calibri" w:hAnsi="Calibri"/>
          <w:i/>
          <w:iCs/>
          <w:sz w:val="24"/>
          <w:szCs w:val="24"/>
        </w:rPr>
      </w:r>
    </w:p>
    <w:p>
      <w:pPr>
        <w:pStyle w:val="Normal"/>
        <w:widowControl/>
        <w:pBdr>
          <w:bottom w:val="single" w:sz="8" w:space="2" w:color="000000"/>
        </w:pBdr>
        <w:overflowPunct w:val="false"/>
        <w:bidi w:val="0"/>
        <w:ind w:left="0" w:right="0" w:hanging="0"/>
        <w:jc w:val="both"/>
        <w:rPr>
          <w:rFonts w:ascii="Calibri" w:hAnsi="Calibri"/>
          <w:i/>
          <w:i/>
          <w:iCs/>
          <w:sz w:val="24"/>
          <w:szCs w:val="24"/>
        </w:rPr>
      </w:pPr>
      <w:r>
        <w:rPr>
          <w:rFonts w:ascii="Calibri" w:hAnsi="Calibri"/>
          <w:i/>
          <w:iCs/>
          <w:sz w:val="24"/>
          <w:szCs w:val="24"/>
        </w:rPr>
      </w:r>
    </w:p>
    <w:p>
      <w:pPr>
        <w:pStyle w:val="Normal"/>
        <w:widowControl/>
        <w:pBdr>
          <w:bottom w:val="single" w:sz="8" w:space="2" w:color="000000"/>
        </w:pBdr>
        <w:overflowPunct w:val="false"/>
        <w:bidi w:val="0"/>
        <w:ind w:left="0" w:right="0" w:hanging="0"/>
        <w:jc w:val="both"/>
        <w:rPr>
          <w:rFonts w:ascii="Calibri" w:hAnsi="Calibri"/>
          <w:i/>
          <w:i/>
          <w:iCs/>
          <w:sz w:val="24"/>
          <w:szCs w:val="24"/>
        </w:rPr>
      </w:pPr>
      <w:r>
        <w:rPr>
          <w:rFonts w:ascii="Calibri" w:hAnsi="Calibri"/>
          <w:i/>
          <w:iCs/>
          <w:sz w:val="24"/>
          <w:szCs w:val="24"/>
        </w:rPr>
      </w:r>
    </w:p>
    <w:p>
      <w:pPr>
        <w:pStyle w:val="Normal"/>
        <w:widowControl/>
        <w:pBdr>
          <w:bottom w:val="single" w:sz="8" w:space="2" w:color="000000"/>
        </w:pBdr>
        <w:overflowPunct w:val="false"/>
        <w:bidi w:val="0"/>
        <w:ind w:left="0" w:right="0" w:hanging="0"/>
        <w:jc w:val="both"/>
        <w:rPr>
          <w:rFonts w:ascii="Calibri" w:hAnsi="Calibri"/>
          <w:sz w:val="24"/>
          <w:szCs w:val="24"/>
        </w:rPr>
      </w:pPr>
      <w:r>
        <w:rPr>
          <w:rFonts w:ascii="Calibri" w:hAnsi="Calibri"/>
          <w:sz w:val="24"/>
          <w:szCs w:val="24"/>
        </w:rPr>
      </w:r>
    </w:p>
    <w:p>
      <w:pPr>
        <w:pStyle w:val="Normal"/>
        <w:widowControl/>
        <w:overflowPunct w:val="false"/>
        <w:bidi w:val="0"/>
        <w:ind w:left="0" w:right="0" w:hanging="720"/>
        <w:jc w:val="both"/>
        <w:rPr/>
      </w:pPr>
      <w:r>
        <w:rPr>
          <w:rFonts w:ascii="Calibri" w:hAnsi="Calibri"/>
          <w:sz w:val="24"/>
          <w:szCs w:val="24"/>
        </w:rPr>
        <w:tab/>
        <w:t>P</w:t>
      </w:r>
      <w:r>
        <w:rPr>
          <w:rFonts w:ascii="Calibri" w:hAnsi="Calibri"/>
          <w:sz w:val="24"/>
          <w:szCs w:val="24"/>
        </w:rPr>
        <w:t>assed [29-3-9]</w:t>
      </w:r>
      <w:r>
        <w:rPr>
          <w:rFonts w:ascii="Calibri" w:hAnsi="Calibri"/>
          <w:sz w:val="24"/>
          <w:szCs w:val="24"/>
        </w:rPr>
        <w:t xml:space="preserve"> at April 27, 2021 Assembly meeting</w:t>
      </w:r>
    </w:p>
    <w:p>
      <w:pPr>
        <w:pStyle w:val="Normal"/>
        <w:widowControl/>
        <w:overflowPunct w:val="false"/>
        <w:bidi w:val="0"/>
        <w:ind w:left="0" w:right="0" w:hanging="720"/>
        <w:jc w:val="both"/>
        <w:rPr>
          <w:rFonts w:ascii="Calibri" w:hAnsi="Calibri"/>
          <w:sz w:val="24"/>
          <w:szCs w:val="24"/>
        </w:rPr>
      </w:pPr>
      <w:r>
        <w:rPr>
          <w:rFonts w:ascii="Calibri" w:hAnsi="Calibri"/>
          <w:sz w:val="24"/>
          <w:szCs w:val="24"/>
        </w:rPr>
      </w:r>
    </w:p>
    <w:p>
      <w:pPr>
        <w:pStyle w:val="Normal"/>
        <w:widowControl/>
        <w:overflowPunct w:val="false"/>
        <w:bidi w:val="0"/>
        <w:ind w:left="0" w:right="0" w:hanging="720"/>
        <w:jc w:val="center"/>
        <w:rPr/>
      </w:pPr>
      <w:r>
        <w:rPr>
          <w:rFonts w:ascii="Calibri" w:hAnsi="Calibri"/>
          <w:b/>
          <w:bCs/>
          <w:sz w:val="32"/>
          <w:szCs w:val="32"/>
        </w:rPr>
        <w:t>Faculty Council of Community Colleges</w:t>
      </w:r>
    </w:p>
    <w:p>
      <w:pPr>
        <w:pStyle w:val="Normal"/>
        <w:widowControl/>
        <w:overflowPunct w:val="false"/>
        <w:bidi w:val="0"/>
        <w:ind w:left="0" w:right="0" w:hanging="720"/>
        <w:jc w:val="center"/>
        <w:rPr>
          <w:b/>
          <w:b/>
          <w:bCs/>
          <w:sz w:val="32"/>
          <w:szCs w:val="32"/>
        </w:rPr>
      </w:pPr>
      <w:r>
        <w:rPr>
          <w:rFonts w:ascii="Calibri" w:hAnsi="Calibri"/>
          <w:b/>
          <w:bCs/>
          <w:sz w:val="32"/>
          <w:szCs w:val="32"/>
        </w:rPr>
        <w:t>SUNY General Education Framework</w:t>
      </w:r>
    </w:p>
    <w:p>
      <w:pPr>
        <w:pStyle w:val="Normal"/>
        <w:widowControl/>
        <w:overflowPunct w:val="false"/>
        <w:bidi w:val="0"/>
        <w:ind w:left="0" w:right="0" w:hanging="720"/>
        <w:jc w:val="center"/>
        <w:rPr>
          <w:b/>
          <w:b/>
          <w:bCs/>
          <w:sz w:val="32"/>
          <w:szCs w:val="32"/>
        </w:rPr>
      </w:pPr>
      <w:r>
        <w:rPr>
          <w:rFonts w:ascii="Calibri" w:hAnsi="Calibri"/>
          <w:b/>
          <w:bCs/>
          <w:sz w:val="32"/>
          <w:szCs w:val="32"/>
        </w:rPr>
        <w:t>E1.2020-2021</w:t>
      </w:r>
    </w:p>
    <w:p>
      <w:pPr>
        <w:pStyle w:val="Normal"/>
        <w:widowControl/>
        <w:overflowPunct w:val="false"/>
        <w:bidi w:val="0"/>
        <w:ind w:left="0" w:right="0" w:hanging="720"/>
        <w:jc w:val="center"/>
        <w:rPr>
          <w:b/>
          <w:b/>
          <w:bCs/>
          <w:sz w:val="32"/>
          <w:szCs w:val="32"/>
        </w:rPr>
      </w:pPr>
      <w:r>
        <w:rPr>
          <w:rFonts w:ascii="Calibri" w:hAnsi="Calibri"/>
          <w:b/>
          <w:bCs/>
          <w:sz w:val="32"/>
          <w:szCs w:val="32"/>
        </w:rPr>
        <w:t>Passed by the Executive Committee</w:t>
      </w:r>
    </w:p>
    <w:p>
      <w:pPr>
        <w:pStyle w:val="Normal"/>
        <w:widowControl/>
        <w:overflowPunct w:val="false"/>
        <w:bidi w:val="0"/>
        <w:ind w:left="0" w:right="0" w:hanging="720"/>
        <w:jc w:val="center"/>
        <w:rPr>
          <w:b/>
          <w:b/>
          <w:bCs/>
          <w:sz w:val="32"/>
          <w:szCs w:val="32"/>
        </w:rPr>
      </w:pPr>
      <w:r>
        <w:rPr>
          <w:rFonts w:ascii="Calibri" w:hAnsi="Calibri"/>
          <w:b/>
          <w:bCs/>
          <w:sz w:val="32"/>
          <w:szCs w:val="32"/>
        </w:rPr>
        <w:t>April 20, 2021</w:t>
      </w:r>
    </w:p>
    <w:p>
      <w:pPr>
        <w:pStyle w:val="Normal"/>
        <w:widowControl/>
        <w:overflowPunct w:val="false"/>
        <w:bidi w:val="0"/>
        <w:ind w:left="0" w:right="0" w:hanging="0"/>
        <w:jc w:val="both"/>
        <w:rPr>
          <w:rFonts w:ascii="Calibri" w:hAnsi="Calibri"/>
        </w:rPr>
      </w:pPr>
      <w:r>
        <w:rPr>
          <w:rFonts w:ascii="Calibri" w:hAnsi="Calibri"/>
        </w:rPr>
      </w:r>
    </w:p>
    <w:p>
      <w:pPr>
        <w:pStyle w:val="Normal"/>
        <w:widowControl/>
        <w:overflowPunct w:val="false"/>
        <w:bidi w:val="0"/>
        <w:ind w:left="0" w:right="0" w:hanging="0"/>
        <w:jc w:val="both"/>
        <w:rPr/>
      </w:pPr>
      <w:r>
        <w:rPr>
          <w:rFonts w:ascii="Calibri" w:hAnsi="Calibri"/>
          <w:b/>
          <w:bCs/>
          <w:sz w:val="24"/>
          <w:szCs w:val="24"/>
        </w:rPr>
        <w:t>WHEREAS</w:t>
      </w:r>
      <w:r>
        <w:rPr>
          <w:rFonts w:ascii="Calibri" w:hAnsi="Calibri"/>
          <w:sz w:val="24"/>
          <w:szCs w:val="24"/>
        </w:rPr>
        <w:t xml:space="preserve"> AAS and AOS programs delivered at SUNY’s community colleges have met the requirements of the Middle States General Education program for decades, and</w:t>
      </w:r>
    </w:p>
    <w:p>
      <w:pPr>
        <w:pStyle w:val="Normal"/>
        <w:widowControl/>
        <w:overflowPunct w:val="false"/>
        <w:bidi w:val="0"/>
        <w:ind w:left="0" w:right="0" w:hanging="0"/>
        <w:jc w:val="both"/>
        <w:rPr>
          <w:rFonts w:ascii="Calibri" w:hAnsi="Calibri"/>
          <w:sz w:val="24"/>
          <w:szCs w:val="24"/>
        </w:rPr>
      </w:pPr>
      <w:r>
        <w:rPr>
          <w:rFonts w:ascii="Calibri" w:hAnsi="Calibri"/>
          <w:sz w:val="24"/>
          <w:szCs w:val="24"/>
        </w:rPr>
      </w:r>
    </w:p>
    <w:p>
      <w:pPr>
        <w:pStyle w:val="Normal"/>
        <w:widowControl/>
        <w:overflowPunct w:val="false"/>
        <w:bidi w:val="0"/>
        <w:ind w:left="0" w:right="0" w:hanging="0"/>
        <w:jc w:val="both"/>
        <w:rPr/>
      </w:pPr>
      <w:r>
        <w:rPr>
          <w:rFonts w:ascii="Calibri" w:hAnsi="Calibri"/>
          <w:b/>
          <w:bCs/>
          <w:sz w:val="24"/>
          <w:szCs w:val="24"/>
        </w:rPr>
        <w:t>WHEREAS</w:t>
      </w:r>
      <w:r>
        <w:rPr>
          <w:rFonts w:ascii="Calibri" w:hAnsi="Calibri"/>
          <w:sz w:val="24"/>
          <w:szCs w:val="24"/>
        </w:rPr>
        <w:t xml:space="preserve"> AAS and AOS programs are designed to fulfill career and industry-driven programs with the primary intent to enter the workplace, and</w:t>
      </w:r>
    </w:p>
    <w:p>
      <w:pPr>
        <w:pStyle w:val="Normal"/>
        <w:widowControl/>
        <w:overflowPunct w:val="false"/>
        <w:bidi w:val="0"/>
        <w:ind w:left="0" w:right="0" w:hanging="0"/>
        <w:jc w:val="both"/>
        <w:rPr>
          <w:rFonts w:ascii="Calibri" w:hAnsi="Calibri"/>
          <w:sz w:val="24"/>
          <w:szCs w:val="24"/>
        </w:rPr>
      </w:pPr>
      <w:r>
        <w:rPr>
          <w:rFonts w:ascii="Calibri" w:hAnsi="Calibri"/>
          <w:sz w:val="24"/>
          <w:szCs w:val="24"/>
        </w:rPr>
      </w:r>
    </w:p>
    <w:p>
      <w:pPr>
        <w:pStyle w:val="Normal"/>
        <w:widowControl/>
        <w:overflowPunct w:val="false"/>
        <w:bidi w:val="0"/>
        <w:ind w:left="0" w:right="0" w:hanging="0"/>
        <w:jc w:val="both"/>
        <w:rPr/>
      </w:pPr>
      <w:r>
        <w:rPr>
          <w:rFonts w:ascii="Calibri" w:hAnsi="Calibri"/>
          <w:b/>
          <w:bCs/>
          <w:sz w:val="24"/>
          <w:szCs w:val="24"/>
        </w:rPr>
        <w:t>WHEREAS</w:t>
      </w:r>
      <w:r>
        <w:rPr>
          <w:rFonts w:ascii="Calibri" w:hAnsi="Calibri"/>
          <w:sz w:val="24"/>
          <w:szCs w:val="24"/>
        </w:rPr>
        <w:t xml:space="preserve"> the General Education Advisory Council’s (GEAC) recommendation to require AAS and AOS programs to include 20 credits of SUNY General Education, and fulfill four of eight required knowledge areas, and six competencies, and</w:t>
      </w:r>
    </w:p>
    <w:p>
      <w:pPr>
        <w:pStyle w:val="Normal"/>
        <w:widowControl/>
        <w:overflowPunct w:val="false"/>
        <w:bidi w:val="0"/>
        <w:ind w:left="0" w:right="0" w:hanging="0"/>
        <w:jc w:val="both"/>
        <w:rPr>
          <w:rFonts w:ascii="Calibri" w:hAnsi="Calibri"/>
          <w:sz w:val="24"/>
          <w:szCs w:val="24"/>
        </w:rPr>
      </w:pPr>
      <w:r>
        <w:rPr>
          <w:rFonts w:ascii="Calibri" w:hAnsi="Calibri"/>
          <w:sz w:val="24"/>
          <w:szCs w:val="24"/>
        </w:rPr>
      </w:r>
    </w:p>
    <w:p>
      <w:pPr>
        <w:pStyle w:val="Normal"/>
        <w:widowControl/>
        <w:overflowPunct w:val="false"/>
        <w:bidi w:val="0"/>
        <w:ind w:left="0" w:right="0" w:hanging="0"/>
        <w:jc w:val="both"/>
        <w:rPr/>
      </w:pPr>
      <w:r>
        <w:rPr>
          <w:rFonts w:ascii="Calibri" w:hAnsi="Calibri"/>
          <w:b/>
          <w:bCs/>
          <w:sz w:val="24"/>
          <w:szCs w:val="24"/>
        </w:rPr>
        <w:t>WHEREAS</w:t>
      </w:r>
      <w:r>
        <w:rPr>
          <w:rFonts w:ascii="Calibri" w:hAnsi="Calibri"/>
          <w:sz w:val="24"/>
          <w:szCs w:val="24"/>
        </w:rPr>
        <w:t xml:space="preserve"> AAS and AOS programs will have to eliminate or alter program content that may be driven by industry and career partners, as well as national accrediting bodies in order to fulfill the new SUNY General Education requirements, and</w:t>
      </w:r>
    </w:p>
    <w:p>
      <w:pPr>
        <w:pStyle w:val="Normal"/>
        <w:widowControl/>
        <w:overflowPunct w:val="false"/>
        <w:bidi w:val="0"/>
        <w:ind w:left="0" w:right="0" w:hanging="0"/>
        <w:jc w:val="both"/>
        <w:rPr>
          <w:rFonts w:ascii="Calibri" w:hAnsi="Calibri"/>
          <w:sz w:val="24"/>
          <w:szCs w:val="24"/>
        </w:rPr>
      </w:pPr>
      <w:r>
        <w:rPr>
          <w:rFonts w:ascii="Calibri" w:hAnsi="Calibri"/>
          <w:sz w:val="24"/>
          <w:szCs w:val="24"/>
        </w:rPr>
      </w:r>
    </w:p>
    <w:p>
      <w:pPr>
        <w:pStyle w:val="Normal"/>
        <w:widowControl/>
        <w:overflowPunct w:val="false"/>
        <w:bidi w:val="0"/>
        <w:ind w:left="0" w:right="0" w:hanging="0"/>
        <w:jc w:val="both"/>
        <w:rPr/>
      </w:pPr>
      <w:r>
        <w:rPr>
          <w:rFonts w:ascii="Calibri" w:hAnsi="Calibri"/>
          <w:b/>
          <w:bCs/>
          <w:sz w:val="24"/>
          <w:szCs w:val="24"/>
        </w:rPr>
        <w:t>WHEREAS</w:t>
      </w:r>
      <w:r>
        <w:rPr>
          <w:rFonts w:ascii="Calibri" w:hAnsi="Calibri"/>
          <w:sz w:val="24"/>
          <w:szCs w:val="24"/>
        </w:rPr>
        <w:t xml:space="preserve"> the Green Paper on General Education authored by faculty selected by the UFS and FCCC made no recommendation on applying the SUNY General Education requirements to AAS or AOS programs, and</w:t>
      </w:r>
    </w:p>
    <w:p>
      <w:pPr>
        <w:pStyle w:val="Normal"/>
        <w:widowControl/>
        <w:overflowPunct w:val="false"/>
        <w:bidi w:val="0"/>
        <w:ind w:left="0" w:right="0" w:hanging="0"/>
        <w:jc w:val="both"/>
        <w:rPr>
          <w:rFonts w:ascii="Calibri" w:hAnsi="Calibri"/>
          <w:sz w:val="24"/>
          <w:szCs w:val="24"/>
        </w:rPr>
      </w:pPr>
      <w:r>
        <w:rPr>
          <w:rFonts w:ascii="Calibri" w:hAnsi="Calibri"/>
          <w:sz w:val="24"/>
          <w:szCs w:val="24"/>
        </w:rPr>
      </w:r>
    </w:p>
    <w:p>
      <w:pPr>
        <w:pStyle w:val="Normal"/>
        <w:widowControl/>
        <w:overflowPunct w:val="false"/>
        <w:bidi w:val="0"/>
        <w:ind w:left="0" w:right="0" w:hanging="0"/>
        <w:jc w:val="both"/>
        <w:rPr/>
      </w:pPr>
      <w:r>
        <w:rPr>
          <w:rFonts w:ascii="Calibri" w:hAnsi="Calibri"/>
          <w:b/>
          <w:bCs/>
          <w:sz w:val="24"/>
          <w:szCs w:val="24"/>
        </w:rPr>
        <w:t>WHEREAS</w:t>
      </w:r>
      <w:r>
        <w:rPr>
          <w:rFonts w:ascii="Calibri" w:hAnsi="Calibri"/>
          <w:sz w:val="24"/>
          <w:szCs w:val="24"/>
        </w:rPr>
        <w:t xml:space="preserve"> the General Education Advisory Committee (GEAC) did not discuss the requirement that AAS and AOS programs be subject to SUNY General Education requirements, and</w:t>
      </w:r>
    </w:p>
    <w:p>
      <w:pPr>
        <w:pStyle w:val="Normal"/>
        <w:widowControl/>
        <w:overflowPunct w:val="false"/>
        <w:bidi w:val="0"/>
        <w:ind w:left="0" w:right="0" w:hanging="0"/>
        <w:jc w:val="both"/>
        <w:rPr>
          <w:rFonts w:ascii="Calibri" w:hAnsi="Calibri"/>
          <w:sz w:val="24"/>
          <w:szCs w:val="24"/>
        </w:rPr>
      </w:pPr>
      <w:r>
        <w:rPr>
          <w:rFonts w:ascii="Calibri" w:hAnsi="Calibri"/>
          <w:sz w:val="24"/>
          <w:szCs w:val="24"/>
        </w:rPr>
      </w:r>
    </w:p>
    <w:p>
      <w:pPr>
        <w:pStyle w:val="Normal"/>
        <w:widowControl/>
        <w:overflowPunct w:val="false"/>
        <w:bidi w:val="0"/>
        <w:ind w:left="0" w:right="0" w:hanging="0"/>
        <w:jc w:val="both"/>
        <w:rPr/>
      </w:pPr>
      <w:r>
        <w:rPr>
          <w:rFonts w:ascii="Calibri" w:hAnsi="Calibri"/>
          <w:b/>
          <w:bCs/>
          <w:sz w:val="24"/>
          <w:szCs w:val="24"/>
        </w:rPr>
        <w:t>WHEREAS</w:t>
      </w:r>
      <w:r>
        <w:rPr>
          <w:rFonts w:ascii="Calibri" w:hAnsi="Calibri"/>
          <w:sz w:val="24"/>
          <w:szCs w:val="24"/>
        </w:rPr>
        <w:t xml:space="preserve"> dividing oral and written communication in the GEAC General Education proposal offers</w:t>
      </w:r>
    </w:p>
    <w:p>
      <w:pPr>
        <w:pStyle w:val="Normal"/>
        <w:widowControl/>
        <w:overflowPunct w:val="false"/>
        <w:bidi w:val="0"/>
        <w:ind w:left="0" w:right="0" w:hanging="0"/>
        <w:jc w:val="both"/>
        <w:rPr/>
      </w:pPr>
      <w:r>
        <w:rPr>
          <w:rFonts w:ascii="Calibri" w:hAnsi="Calibri"/>
          <w:sz w:val="24"/>
          <w:szCs w:val="24"/>
        </w:rPr>
        <w:t>campuses flexibility in its completion, and</w:t>
      </w:r>
    </w:p>
    <w:p>
      <w:pPr>
        <w:pStyle w:val="Normal"/>
        <w:widowControl/>
        <w:overflowPunct w:val="false"/>
        <w:bidi w:val="0"/>
        <w:ind w:left="0" w:right="0" w:hanging="0"/>
        <w:jc w:val="both"/>
        <w:rPr>
          <w:rFonts w:ascii="Calibri" w:hAnsi="Calibri"/>
          <w:sz w:val="24"/>
          <w:szCs w:val="24"/>
        </w:rPr>
      </w:pPr>
      <w:r>
        <w:rPr>
          <w:rFonts w:ascii="Calibri" w:hAnsi="Calibri"/>
          <w:sz w:val="24"/>
          <w:szCs w:val="24"/>
        </w:rPr>
      </w:r>
    </w:p>
    <w:p>
      <w:pPr>
        <w:pStyle w:val="Normal"/>
        <w:widowControl/>
        <w:overflowPunct w:val="false"/>
        <w:bidi w:val="0"/>
        <w:ind w:left="0" w:right="0" w:hanging="0"/>
        <w:jc w:val="both"/>
        <w:rPr/>
      </w:pPr>
      <w:r>
        <w:rPr>
          <w:rFonts w:ascii="Calibri" w:hAnsi="Calibri"/>
          <w:b/>
          <w:bCs/>
          <w:sz w:val="24"/>
          <w:szCs w:val="24"/>
        </w:rPr>
        <w:t>WHEREAS</w:t>
      </w:r>
      <w:r>
        <w:rPr>
          <w:rFonts w:ascii="Calibri" w:hAnsi="Calibri"/>
          <w:sz w:val="24"/>
          <w:szCs w:val="24"/>
        </w:rPr>
        <w:t xml:space="preserve"> oral communication is a disciplinary field that experts in that field should guide in the completion of this category, which is not possible in the current GEAC General Education proposal, and</w:t>
      </w:r>
    </w:p>
    <w:p>
      <w:pPr>
        <w:pStyle w:val="Normal"/>
        <w:widowControl/>
        <w:overflowPunct w:val="false"/>
        <w:bidi w:val="0"/>
        <w:ind w:left="0" w:right="0" w:hanging="0"/>
        <w:jc w:val="both"/>
        <w:rPr>
          <w:rFonts w:ascii="Calibri" w:hAnsi="Calibri"/>
          <w:sz w:val="24"/>
          <w:szCs w:val="24"/>
        </w:rPr>
      </w:pPr>
      <w:r>
        <w:rPr>
          <w:rFonts w:ascii="Calibri" w:hAnsi="Calibri"/>
          <w:sz w:val="24"/>
          <w:szCs w:val="24"/>
        </w:rPr>
      </w:r>
    </w:p>
    <w:p>
      <w:pPr>
        <w:pStyle w:val="Normal"/>
        <w:widowControl/>
        <w:overflowPunct w:val="false"/>
        <w:bidi w:val="0"/>
        <w:ind w:left="0" w:right="0" w:hanging="0"/>
        <w:jc w:val="both"/>
        <w:rPr/>
      </w:pPr>
      <w:r>
        <w:rPr>
          <w:rFonts w:ascii="Calibri" w:hAnsi="Calibri"/>
          <w:b/>
          <w:bCs/>
          <w:sz w:val="24"/>
          <w:szCs w:val="24"/>
        </w:rPr>
        <w:t>WHEREAS</w:t>
      </w:r>
      <w:r>
        <w:rPr>
          <w:rFonts w:ascii="Calibri" w:hAnsi="Calibri"/>
          <w:sz w:val="24"/>
          <w:szCs w:val="24"/>
        </w:rPr>
        <w:t xml:space="preserve"> the FCCC Resolution on General Education (ASA3:2018-2019) supported a general education requirement for scientific reasoning, and</w:t>
      </w:r>
    </w:p>
    <w:p>
      <w:pPr>
        <w:pStyle w:val="Normal"/>
        <w:widowControl/>
        <w:overflowPunct w:val="false"/>
        <w:bidi w:val="0"/>
        <w:ind w:left="0" w:right="0" w:hanging="0"/>
        <w:jc w:val="both"/>
        <w:rPr>
          <w:rFonts w:ascii="Calibri" w:hAnsi="Calibri"/>
          <w:sz w:val="24"/>
          <w:szCs w:val="24"/>
        </w:rPr>
      </w:pPr>
      <w:r>
        <w:rPr>
          <w:rFonts w:ascii="Calibri" w:hAnsi="Calibri"/>
          <w:sz w:val="24"/>
          <w:szCs w:val="24"/>
        </w:rPr>
      </w:r>
    </w:p>
    <w:p>
      <w:pPr>
        <w:pStyle w:val="Normal"/>
        <w:widowControl/>
        <w:overflowPunct w:val="false"/>
        <w:bidi w:val="0"/>
        <w:ind w:left="0" w:right="0" w:hanging="0"/>
        <w:jc w:val="both"/>
        <w:rPr/>
      </w:pPr>
      <w:r>
        <w:rPr>
          <w:rFonts w:ascii="Calibri" w:hAnsi="Calibri"/>
          <w:b/>
          <w:bCs/>
          <w:sz w:val="24"/>
          <w:szCs w:val="24"/>
        </w:rPr>
        <w:t>WHEREAS</w:t>
      </w:r>
      <w:r>
        <w:rPr>
          <w:rFonts w:ascii="Calibri" w:hAnsi="Calibri"/>
          <w:sz w:val="24"/>
          <w:szCs w:val="24"/>
        </w:rPr>
        <w:t xml:space="preserve"> many social science courses that employ scientific methods may also meet this scientific reasoning requirement, therefore</w:t>
      </w:r>
    </w:p>
    <w:p>
      <w:pPr>
        <w:pStyle w:val="Normal"/>
        <w:widowControl/>
        <w:overflowPunct w:val="false"/>
        <w:bidi w:val="0"/>
        <w:ind w:left="0" w:right="0" w:hanging="0"/>
        <w:jc w:val="both"/>
        <w:rPr>
          <w:rFonts w:ascii="Calibri" w:hAnsi="Calibri"/>
          <w:sz w:val="24"/>
          <w:szCs w:val="24"/>
        </w:rPr>
      </w:pPr>
      <w:r>
        <w:rPr>
          <w:rFonts w:ascii="Calibri" w:hAnsi="Calibri"/>
          <w:sz w:val="24"/>
          <w:szCs w:val="24"/>
        </w:rPr>
      </w:r>
    </w:p>
    <w:p>
      <w:pPr>
        <w:pStyle w:val="Normal"/>
        <w:widowControl/>
        <w:overflowPunct w:val="false"/>
        <w:bidi w:val="0"/>
        <w:ind w:left="0" w:right="0" w:hanging="0"/>
        <w:jc w:val="both"/>
        <w:rPr>
          <w:rFonts w:ascii="Calibri" w:hAnsi="Calibri"/>
          <w:sz w:val="24"/>
          <w:szCs w:val="24"/>
        </w:rPr>
      </w:pPr>
      <w:r>
        <w:rPr>
          <w:rFonts w:ascii="Calibri" w:hAnsi="Calibri"/>
          <w:sz w:val="24"/>
          <w:szCs w:val="24"/>
        </w:rPr>
      </w:r>
    </w:p>
    <w:p>
      <w:pPr>
        <w:pStyle w:val="Normal"/>
        <w:widowControl/>
        <w:overflowPunct w:val="false"/>
        <w:bidi w:val="0"/>
        <w:ind w:left="0" w:right="0" w:hanging="0"/>
        <w:jc w:val="both"/>
        <w:rPr>
          <w:rFonts w:ascii="Calibri" w:hAnsi="Calibri"/>
          <w:sz w:val="24"/>
          <w:szCs w:val="24"/>
        </w:rPr>
      </w:pPr>
      <w:r>
        <w:rPr>
          <w:rFonts w:ascii="Calibri" w:hAnsi="Calibri"/>
          <w:sz w:val="24"/>
          <w:szCs w:val="24"/>
        </w:rPr>
      </w:r>
    </w:p>
    <w:p>
      <w:pPr>
        <w:pStyle w:val="Normal"/>
        <w:widowControl/>
        <w:overflowPunct w:val="false"/>
        <w:bidi w:val="0"/>
        <w:ind w:left="0" w:right="0" w:hanging="0"/>
        <w:jc w:val="both"/>
        <w:rPr>
          <w:rFonts w:ascii="Calibri" w:hAnsi="Calibri"/>
          <w:sz w:val="24"/>
          <w:szCs w:val="24"/>
        </w:rPr>
      </w:pPr>
      <w:r>
        <w:rPr>
          <w:rFonts w:ascii="Calibri" w:hAnsi="Calibri"/>
          <w:sz w:val="24"/>
          <w:szCs w:val="24"/>
        </w:rPr>
      </w:r>
    </w:p>
    <w:p>
      <w:pPr>
        <w:pStyle w:val="Normal"/>
        <w:widowControl/>
        <w:overflowPunct w:val="false"/>
        <w:bidi w:val="0"/>
        <w:ind w:left="0" w:right="0" w:hanging="0"/>
        <w:jc w:val="both"/>
        <w:rPr>
          <w:rFonts w:ascii="Calibri" w:hAnsi="Calibri"/>
          <w:sz w:val="24"/>
          <w:szCs w:val="24"/>
        </w:rPr>
      </w:pPr>
      <w:r>
        <w:rPr>
          <w:rFonts w:ascii="Calibri" w:hAnsi="Calibri"/>
          <w:sz w:val="24"/>
          <w:szCs w:val="24"/>
        </w:rPr>
      </w:r>
    </w:p>
    <w:p>
      <w:pPr>
        <w:pStyle w:val="Normal"/>
        <w:widowControl/>
        <w:overflowPunct w:val="false"/>
        <w:bidi w:val="0"/>
        <w:ind w:left="0" w:right="0" w:hanging="0"/>
        <w:jc w:val="both"/>
        <w:rPr>
          <w:rFonts w:ascii="Calibri" w:hAnsi="Calibri"/>
          <w:sz w:val="24"/>
          <w:szCs w:val="24"/>
        </w:rPr>
      </w:pPr>
      <w:r>
        <w:rPr>
          <w:rFonts w:ascii="Calibri" w:hAnsi="Calibri"/>
          <w:sz w:val="24"/>
          <w:szCs w:val="24"/>
        </w:rPr>
      </w:r>
    </w:p>
    <w:p>
      <w:pPr>
        <w:pStyle w:val="Normal"/>
        <w:widowControl/>
        <w:overflowPunct w:val="false"/>
        <w:bidi w:val="0"/>
        <w:ind w:left="0" w:right="0" w:hanging="0"/>
        <w:jc w:val="both"/>
        <w:rPr/>
      </w:pPr>
      <w:r>
        <w:rPr>
          <w:rFonts w:ascii="Calibri" w:hAnsi="Calibri"/>
          <w:b/>
          <w:bCs/>
          <w:sz w:val="24"/>
          <w:szCs w:val="24"/>
        </w:rPr>
        <w:t>BE IT RESOLVED</w:t>
      </w:r>
      <w:r>
        <w:rPr>
          <w:rFonts w:ascii="Calibri" w:hAnsi="Calibri"/>
          <w:sz w:val="24"/>
          <w:szCs w:val="24"/>
        </w:rPr>
        <w:t xml:space="preserve"> that the FCCC recommends that social science courses that apply quantitative methods courses should be allowed to meet the scientific reasoning requirement, and further</w:t>
      </w:r>
    </w:p>
    <w:p>
      <w:pPr>
        <w:pStyle w:val="Normal"/>
        <w:widowControl/>
        <w:overflowPunct w:val="false"/>
        <w:bidi w:val="0"/>
        <w:ind w:left="0" w:right="0" w:hanging="0"/>
        <w:jc w:val="both"/>
        <w:rPr>
          <w:rFonts w:ascii="Calibri" w:hAnsi="Calibri"/>
          <w:sz w:val="24"/>
          <w:szCs w:val="24"/>
        </w:rPr>
      </w:pPr>
      <w:r>
        <w:rPr>
          <w:rFonts w:ascii="Calibri" w:hAnsi="Calibri"/>
          <w:sz w:val="24"/>
          <w:szCs w:val="24"/>
        </w:rPr>
      </w:r>
    </w:p>
    <w:p>
      <w:pPr>
        <w:pStyle w:val="Normal"/>
        <w:widowControl/>
        <w:overflowPunct w:val="false"/>
        <w:bidi w:val="0"/>
        <w:ind w:left="0" w:right="0" w:hanging="0"/>
        <w:jc w:val="both"/>
        <w:rPr/>
      </w:pPr>
      <w:r>
        <w:rPr>
          <w:rFonts w:ascii="Calibri" w:hAnsi="Calibri"/>
          <w:b/>
          <w:bCs/>
          <w:sz w:val="24"/>
          <w:szCs w:val="24"/>
        </w:rPr>
        <w:t>RESOLOVED</w:t>
      </w:r>
      <w:r>
        <w:rPr>
          <w:rFonts w:ascii="Calibri" w:hAnsi="Calibri"/>
          <w:sz w:val="24"/>
          <w:szCs w:val="24"/>
        </w:rPr>
        <w:t xml:space="preserve"> that the Oral Communication competency proposed by SUNY GEAC become a knowledge area separate from the Written Communication knowledge area, and further</w:t>
      </w:r>
    </w:p>
    <w:p>
      <w:pPr>
        <w:pStyle w:val="Normal"/>
        <w:widowControl/>
        <w:overflowPunct w:val="false"/>
        <w:bidi w:val="0"/>
        <w:ind w:left="0" w:right="0" w:hanging="0"/>
        <w:jc w:val="both"/>
        <w:rPr>
          <w:rFonts w:ascii="Calibri" w:hAnsi="Calibri"/>
          <w:sz w:val="24"/>
          <w:szCs w:val="24"/>
        </w:rPr>
      </w:pPr>
      <w:r>
        <w:rPr>
          <w:rFonts w:ascii="Calibri" w:hAnsi="Calibri"/>
          <w:sz w:val="24"/>
          <w:szCs w:val="24"/>
        </w:rPr>
      </w:r>
    </w:p>
    <w:p>
      <w:pPr>
        <w:pStyle w:val="Normal"/>
        <w:widowControl/>
        <w:overflowPunct w:val="false"/>
        <w:bidi w:val="0"/>
        <w:ind w:left="0" w:right="0" w:hanging="0"/>
        <w:jc w:val="both"/>
        <w:rPr/>
      </w:pPr>
      <w:r>
        <w:rPr>
          <w:rFonts w:ascii="Calibri" w:hAnsi="Calibri"/>
          <w:b/>
          <w:bCs/>
          <w:sz w:val="24"/>
          <w:szCs w:val="24"/>
        </w:rPr>
        <w:t>RESOLOVED</w:t>
      </w:r>
      <w:r>
        <w:rPr>
          <w:rFonts w:ascii="Calibri" w:hAnsi="Calibri"/>
          <w:sz w:val="24"/>
          <w:szCs w:val="24"/>
        </w:rPr>
        <w:t xml:space="preserve"> that the Global Learning competency proposed by SUNY GEAC become a knowledge area to reduce the number of competencies that all SUNY programs will have to fulfill, and further</w:t>
      </w:r>
    </w:p>
    <w:p>
      <w:pPr>
        <w:pStyle w:val="Normal"/>
        <w:widowControl/>
        <w:overflowPunct w:val="false"/>
        <w:bidi w:val="0"/>
        <w:ind w:left="0" w:right="0" w:hanging="0"/>
        <w:jc w:val="both"/>
        <w:rPr>
          <w:rFonts w:ascii="Calibri" w:hAnsi="Calibri"/>
          <w:sz w:val="24"/>
          <w:szCs w:val="24"/>
        </w:rPr>
      </w:pPr>
      <w:r>
        <w:rPr>
          <w:rFonts w:ascii="Calibri" w:hAnsi="Calibri"/>
          <w:sz w:val="24"/>
          <w:szCs w:val="24"/>
        </w:rPr>
      </w:r>
    </w:p>
    <w:p>
      <w:pPr>
        <w:pStyle w:val="Normal"/>
        <w:widowControl/>
        <w:overflowPunct w:val="false"/>
        <w:bidi w:val="0"/>
        <w:ind w:left="0" w:right="0" w:hanging="0"/>
        <w:jc w:val="both"/>
        <w:rPr/>
      </w:pPr>
      <w:r>
        <w:rPr>
          <w:rFonts w:ascii="Calibri" w:hAnsi="Calibri"/>
          <w:b/>
          <w:bCs/>
          <w:sz w:val="24"/>
          <w:szCs w:val="24"/>
        </w:rPr>
        <w:t>RESOLOVED</w:t>
      </w:r>
      <w:r>
        <w:rPr>
          <w:rFonts w:ascii="Calibri" w:hAnsi="Calibri"/>
          <w:sz w:val="24"/>
          <w:szCs w:val="24"/>
        </w:rPr>
        <w:t xml:space="preserve"> that the FCCC recommends that AAS and AOS are not subject to the SUNY General Education program unless the requirements are reduced to three of eight knowledge areas and four competencies, and further</w:t>
      </w:r>
    </w:p>
    <w:p>
      <w:pPr>
        <w:pStyle w:val="Normal"/>
        <w:widowControl/>
        <w:overflowPunct w:val="false"/>
        <w:bidi w:val="0"/>
        <w:ind w:left="0" w:right="0" w:hanging="0"/>
        <w:jc w:val="both"/>
        <w:rPr>
          <w:rFonts w:ascii="Calibri" w:hAnsi="Calibri"/>
          <w:sz w:val="24"/>
          <w:szCs w:val="24"/>
        </w:rPr>
      </w:pPr>
      <w:r>
        <w:rPr>
          <w:rFonts w:ascii="Calibri" w:hAnsi="Calibri"/>
          <w:sz w:val="24"/>
          <w:szCs w:val="24"/>
        </w:rPr>
      </w:r>
    </w:p>
    <w:p>
      <w:pPr>
        <w:pStyle w:val="Normal"/>
        <w:widowControl/>
        <w:overflowPunct w:val="false"/>
        <w:bidi w:val="0"/>
        <w:ind w:left="0" w:right="0" w:hanging="0"/>
        <w:jc w:val="both"/>
        <w:rPr/>
      </w:pPr>
      <w:r>
        <w:rPr>
          <w:rFonts w:ascii="Calibri" w:hAnsi="Calibri"/>
          <w:b/>
          <w:bCs/>
          <w:sz w:val="24"/>
          <w:szCs w:val="24"/>
        </w:rPr>
        <w:t>RESOLOVED</w:t>
      </w:r>
      <w:r>
        <w:rPr>
          <w:rFonts w:ascii="Calibri" w:hAnsi="Calibri"/>
          <w:sz w:val="24"/>
          <w:szCs w:val="24"/>
        </w:rPr>
        <w:t xml:space="preserve"> that the competency requirements of Global Learning and Diversity that are proposed by SUNY GEAC, if met by credit-bearing courses, will be included in the thirty credit requirement in all AA and AS programs.</w:t>
      </w:r>
    </w:p>
    <w:p>
      <w:pPr>
        <w:pStyle w:val="Normal"/>
        <w:widowControl/>
        <w:overflowPunct w:val="false"/>
        <w:bidi w:val="0"/>
        <w:ind w:left="0" w:right="0" w:hanging="0"/>
        <w:jc w:val="both"/>
        <w:rPr>
          <w:rFonts w:ascii="Calibri" w:hAnsi="Calibri"/>
          <w:sz w:val="24"/>
          <w:szCs w:val="24"/>
        </w:rPr>
      </w:pPr>
      <w:r>
        <w:rPr>
          <w:rFonts w:ascii="Calibri" w:hAnsi="Calibri"/>
          <w:sz w:val="24"/>
          <w:szCs w:val="24"/>
        </w:rPr>
      </w:r>
    </w:p>
    <w:p>
      <w:pPr>
        <w:pStyle w:val="Normal"/>
        <w:widowControl/>
        <w:overflowPunct w:val="false"/>
        <w:bidi w:val="0"/>
        <w:ind w:left="0" w:right="0" w:hanging="0"/>
        <w:jc w:val="both"/>
        <w:rPr>
          <w:rFonts w:ascii="Calibri" w:hAnsi="Calibri"/>
          <w:sz w:val="24"/>
          <w:szCs w:val="24"/>
        </w:rPr>
      </w:pPr>
      <w:r>
        <w:rPr>
          <w:rFonts w:ascii="Calibri" w:hAnsi="Calibri"/>
          <w:sz w:val="24"/>
          <w:szCs w:val="24"/>
        </w:rPr>
      </w:r>
    </w:p>
    <w:p>
      <w:pPr>
        <w:pStyle w:val="Normal"/>
        <w:widowControl/>
        <w:overflowPunct w:val="false"/>
        <w:bidi w:val="0"/>
        <w:ind w:left="0" w:right="0" w:hanging="0"/>
        <w:jc w:val="both"/>
        <w:rPr>
          <w:rFonts w:ascii="Calibri" w:hAnsi="Calibri"/>
          <w:sz w:val="24"/>
          <w:szCs w:val="24"/>
        </w:rPr>
      </w:pPr>
      <w:r>
        <w:rPr>
          <w:rFonts w:ascii="Calibri" w:hAnsi="Calibri"/>
          <w:sz w:val="24"/>
          <w:szCs w:val="24"/>
        </w:rPr>
      </w:r>
    </w:p>
    <w:p>
      <w:pPr>
        <w:pStyle w:val="Normal"/>
        <w:widowControl/>
        <w:overflowPunct w:val="false"/>
        <w:bidi w:val="0"/>
        <w:ind w:left="0" w:right="0" w:hanging="0"/>
        <w:jc w:val="both"/>
        <w:rPr/>
      </w:pPr>
      <w:r>
        <w:rPr/>
      </w:r>
    </w:p>
    <w:sectPr>
      <w:footerReference w:type="default" r:id="rId3"/>
      <w:type w:val="nextPage"/>
      <w:pgSz w:w="11906" w:h="16838"/>
      <w:pgMar w:left="1134" w:right="1134" w:header="0" w:top="1134" w:footer="1134" w:bottom="1693"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y">
    <w:charset w:val="01"/>
    <w:family w:val="roman"/>
    <w:pitch w:val="variable"/>
  </w:font>
  <w:font w:name="OpenSymbol">
    <w:altName w:val="Arial Unicode MS"/>
    <w:charset w:val="01"/>
    <w:family w:val="roman"/>
    <w:pitch w:val="variable"/>
  </w:font>
  <w:font w:name="Calibri">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3</w:t>
    </w:r>
    <w:r>
      <w:rPr/>
      <w:fldChar w:fldCharType="end"/>
    </w:r>
  </w:p>
</w:ftr>
</file>

<file path=word/settings.xml><?xml version="1.0" encoding="utf-8"?>
<w:settings xmlns:w="http://schemas.openxmlformats.org/wordprocessingml/2006/main">
  <w:zoom w:percent="95"/>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Noto Sans Devanagari"/>
        <w:sz w:val="20"/>
        <w:szCs w:val="24"/>
        <w:lang w:val="en-US" w:eastAsia="zh-CN" w:bidi="hi-IN"/>
      </w:rPr>
    </w:rPrDefault>
    <w:pPrDefault>
      <w:pPr/>
    </w:pPrDefault>
  </w:docDefaults>
  <w:style w:type="paragraph" w:styleId="Normal">
    <w:name w:val="Normal"/>
    <w:qFormat/>
    <w:pPr>
      <w:widowControl/>
      <w:overflowPunct w:val="false"/>
      <w:bidi w:val="0"/>
      <w:jc w:val="left"/>
    </w:pPr>
    <w:rPr>
      <w:rFonts w:ascii="Liberation Serif" w:hAnsi="Liberation Serif" w:eastAsia="Noto Sans CJK SC Regular" w:cs="Noto Sans Devanagari"/>
      <w:color w:val="00000A"/>
      <w:kern w:val="0"/>
      <w:sz w:val="24"/>
      <w:szCs w:val="24"/>
      <w:lang w:val="en-US" w:eastAsia="zh-CN" w:bidi="hi-IN"/>
    </w:rPr>
  </w:style>
  <w:style w:type="paragraph" w:styleId="Heading1">
    <w:name w:val="Heading 1"/>
    <w:basedOn w:val="Heading"/>
    <w:qFormat/>
    <w:pPr/>
    <w:rPr/>
  </w:style>
  <w:style w:type="character" w:styleId="ListLabel433">
    <w:name w:val="ListLabel 433"/>
    <w:qFormat/>
    <w:rPr>
      <w:rFonts w:cs="OpenSymbol"/>
      <w:b w:val="false"/>
      <w:sz w:val="23"/>
    </w:rPr>
  </w:style>
  <w:style w:type="character" w:styleId="ListLabel434">
    <w:name w:val="ListLabel 434"/>
    <w:qFormat/>
    <w:rPr>
      <w:rFonts w:cs="OpenSymbol"/>
    </w:rPr>
  </w:style>
  <w:style w:type="character" w:styleId="ListLabel435">
    <w:name w:val="ListLabel 435"/>
    <w:qFormat/>
    <w:rPr>
      <w:rFonts w:cs="OpenSymbol"/>
    </w:rPr>
  </w:style>
  <w:style w:type="character" w:styleId="ListLabel436">
    <w:name w:val="ListLabel 436"/>
    <w:qFormat/>
    <w:rPr>
      <w:rFonts w:cs="OpenSymbol"/>
    </w:rPr>
  </w:style>
  <w:style w:type="character" w:styleId="ListLabel437">
    <w:name w:val="ListLabel 437"/>
    <w:qFormat/>
    <w:rPr>
      <w:rFonts w:cs="OpenSymbol"/>
    </w:rPr>
  </w:style>
  <w:style w:type="character" w:styleId="ListLabel438">
    <w:name w:val="ListLabel 438"/>
    <w:qFormat/>
    <w:rPr>
      <w:rFonts w:cs="OpenSymbol"/>
    </w:rPr>
  </w:style>
  <w:style w:type="character" w:styleId="ListLabel439">
    <w:name w:val="ListLabel 439"/>
    <w:qFormat/>
    <w:rPr>
      <w:rFonts w:cs="OpenSymbol"/>
    </w:rPr>
  </w:style>
  <w:style w:type="character" w:styleId="ListLabel440">
    <w:name w:val="ListLabel 440"/>
    <w:qFormat/>
    <w:rPr>
      <w:rFonts w:cs="OpenSymbol"/>
    </w:rPr>
  </w:style>
  <w:style w:type="character" w:styleId="ListLabel441">
    <w:name w:val="ListLabel 441"/>
    <w:qFormat/>
    <w:rPr>
      <w:rFonts w:cs="OpenSymbol"/>
    </w:rPr>
  </w:style>
  <w:style w:type="character" w:styleId="ListLabel442">
    <w:name w:val="ListLabel 442"/>
    <w:qFormat/>
    <w:rPr>
      <w:rFonts w:cs="OpenSymbol"/>
      <w:sz w:val="23"/>
    </w:rPr>
  </w:style>
  <w:style w:type="character" w:styleId="ListLabel443">
    <w:name w:val="ListLabel 443"/>
    <w:qFormat/>
    <w:rPr>
      <w:rFonts w:cs="OpenSymbol"/>
    </w:rPr>
  </w:style>
  <w:style w:type="character" w:styleId="ListLabel444">
    <w:name w:val="ListLabel 444"/>
    <w:qFormat/>
    <w:rPr>
      <w:rFonts w:cs="OpenSymbol"/>
    </w:rPr>
  </w:style>
  <w:style w:type="character" w:styleId="ListLabel445">
    <w:name w:val="ListLabel 445"/>
    <w:qFormat/>
    <w:rPr>
      <w:rFonts w:cs="OpenSymbol"/>
    </w:rPr>
  </w:style>
  <w:style w:type="character" w:styleId="ListLabel446">
    <w:name w:val="ListLabel 446"/>
    <w:qFormat/>
    <w:rPr>
      <w:rFonts w:cs="OpenSymbol"/>
    </w:rPr>
  </w:style>
  <w:style w:type="character" w:styleId="ListLabel447">
    <w:name w:val="ListLabel 447"/>
    <w:qFormat/>
    <w:rPr>
      <w:rFonts w:cs="OpenSymbol"/>
    </w:rPr>
  </w:style>
  <w:style w:type="character" w:styleId="ListLabel448">
    <w:name w:val="ListLabel 448"/>
    <w:qFormat/>
    <w:rPr>
      <w:rFonts w:cs="OpenSymbol"/>
    </w:rPr>
  </w:style>
  <w:style w:type="character" w:styleId="ListLabel449">
    <w:name w:val="ListLabel 449"/>
    <w:qFormat/>
    <w:rPr>
      <w:rFonts w:cs="OpenSymbol"/>
    </w:rPr>
  </w:style>
  <w:style w:type="character" w:styleId="ListLabel450">
    <w:name w:val="ListLabel 450"/>
    <w:qFormat/>
    <w:rPr>
      <w:rFonts w:cs="OpenSymbol"/>
    </w:rPr>
  </w:style>
  <w:style w:type="character" w:styleId="ListLabel451">
    <w:name w:val="ListLabel 451"/>
    <w:qFormat/>
    <w:rPr>
      <w:rFonts w:ascii="Calibry" w:hAnsi="Calibry" w:cs="OpenSymbol"/>
      <w:sz w:val="24"/>
    </w:rPr>
  </w:style>
  <w:style w:type="character" w:styleId="ListLabel452">
    <w:name w:val="ListLabel 452"/>
    <w:qFormat/>
    <w:rPr>
      <w:rFonts w:cs="OpenSymbol"/>
    </w:rPr>
  </w:style>
  <w:style w:type="character" w:styleId="ListLabel453">
    <w:name w:val="ListLabel 453"/>
    <w:qFormat/>
    <w:rPr>
      <w:rFonts w:cs="OpenSymbol"/>
    </w:rPr>
  </w:style>
  <w:style w:type="character" w:styleId="ListLabel454">
    <w:name w:val="ListLabel 454"/>
    <w:qFormat/>
    <w:rPr>
      <w:rFonts w:cs="OpenSymbol"/>
    </w:rPr>
  </w:style>
  <w:style w:type="character" w:styleId="ListLabel455">
    <w:name w:val="ListLabel 455"/>
    <w:qFormat/>
    <w:rPr>
      <w:rFonts w:cs="OpenSymbol"/>
    </w:rPr>
  </w:style>
  <w:style w:type="character" w:styleId="ListLabel456">
    <w:name w:val="ListLabel 456"/>
    <w:qFormat/>
    <w:rPr>
      <w:rFonts w:cs="OpenSymbol"/>
    </w:rPr>
  </w:style>
  <w:style w:type="character" w:styleId="ListLabel457">
    <w:name w:val="ListLabel 457"/>
    <w:qFormat/>
    <w:rPr>
      <w:rFonts w:cs="OpenSymbol"/>
    </w:rPr>
  </w:style>
  <w:style w:type="character" w:styleId="ListLabel458">
    <w:name w:val="ListLabel 458"/>
    <w:qFormat/>
    <w:rPr>
      <w:rFonts w:cs="OpenSymbol"/>
    </w:rPr>
  </w:style>
  <w:style w:type="character" w:styleId="ListLabel459">
    <w:name w:val="ListLabel 459"/>
    <w:qFormat/>
    <w:rPr>
      <w:rFonts w:cs="OpenSymbol"/>
    </w:rPr>
  </w:style>
  <w:style w:type="character" w:styleId="InternetLink">
    <w:name w:val="Internet Link"/>
    <w:rPr>
      <w:color w:val="000080"/>
      <w:u w:val="single"/>
      <w:lang w:val="zxx" w:eastAsia="zxx" w:bidi="zxx"/>
    </w:rPr>
  </w:style>
  <w:style w:type="character" w:styleId="VisitedInternetLink">
    <w:name w:val="Visited Internet Link"/>
    <w:rPr>
      <w:color w:val="800000"/>
      <w:u w:val="single"/>
      <w:lang w:val="zxx" w:eastAsia="zxx" w:bidi="zxx"/>
    </w:rPr>
  </w:style>
  <w:style w:type="character" w:styleId="FootnoteAnchor">
    <w:name w:val="Footnote Anchor"/>
    <w:rPr>
      <w:vertAlign w:val="superscript"/>
    </w:rPr>
  </w:style>
  <w:style w:type="character" w:styleId="FootnoteCharacters">
    <w:name w:val="Footnote Characters"/>
    <w:qFormat/>
    <w:rPr>
      <w:vertAlign w:val="superscript"/>
    </w:rPr>
  </w:style>
  <w:style w:type="character" w:styleId="EndnoteAnchor">
    <w:name w:val="Endnote Anchor"/>
    <w:rPr>
      <w:vertAlign w:val="superscript"/>
    </w:rPr>
  </w:style>
  <w:style w:type="character" w:styleId="EndnoteCharacters">
    <w:name w:val="Endnote Characters"/>
    <w:qFormat/>
    <w:rPr/>
  </w:style>
  <w:style w:type="character" w:styleId="ListLabel460">
    <w:name w:val="ListLabel 460"/>
    <w:qFormat/>
    <w:rPr>
      <w:rFonts w:cs="OpenSymbol"/>
      <w:b w:val="false"/>
      <w:sz w:val="23"/>
    </w:rPr>
  </w:style>
  <w:style w:type="character" w:styleId="ListLabel461">
    <w:name w:val="ListLabel 461"/>
    <w:qFormat/>
    <w:rPr>
      <w:rFonts w:cs="OpenSymbol"/>
    </w:rPr>
  </w:style>
  <w:style w:type="character" w:styleId="ListLabel462">
    <w:name w:val="ListLabel 462"/>
    <w:qFormat/>
    <w:rPr>
      <w:rFonts w:cs="OpenSymbol"/>
    </w:rPr>
  </w:style>
  <w:style w:type="character" w:styleId="ListLabel463">
    <w:name w:val="ListLabel 463"/>
    <w:qFormat/>
    <w:rPr>
      <w:rFonts w:cs="OpenSymbol"/>
    </w:rPr>
  </w:style>
  <w:style w:type="character" w:styleId="ListLabel464">
    <w:name w:val="ListLabel 464"/>
    <w:qFormat/>
    <w:rPr>
      <w:rFonts w:cs="OpenSymbol"/>
    </w:rPr>
  </w:style>
  <w:style w:type="character" w:styleId="ListLabel465">
    <w:name w:val="ListLabel 465"/>
    <w:qFormat/>
    <w:rPr>
      <w:rFonts w:cs="OpenSymbol"/>
    </w:rPr>
  </w:style>
  <w:style w:type="character" w:styleId="ListLabel466">
    <w:name w:val="ListLabel 466"/>
    <w:qFormat/>
    <w:rPr>
      <w:rFonts w:cs="OpenSymbol"/>
    </w:rPr>
  </w:style>
  <w:style w:type="character" w:styleId="ListLabel467">
    <w:name w:val="ListLabel 467"/>
    <w:qFormat/>
    <w:rPr>
      <w:rFonts w:cs="OpenSymbol"/>
    </w:rPr>
  </w:style>
  <w:style w:type="character" w:styleId="ListLabel468">
    <w:name w:val="ListLabel 468"/>
    <w:qFormat/>
    <w:rPr>
      <w:rFonts w:cs="OpenSymbol"/>
    </w:rPr>
  </w:style>
  <w:style w:type="character" w:styleId="ListLabel469">
    <w:name w:val="ListLabel 469"/>
    <w:qFormat/>
    <w:rPr>
      <w:rFonts w:cs="OpenSymbol"/>
      <w:sz w:val="23"/>
    </w:rPr>
  </w:style>
  <w:style w:type="character" w:styleId="ListLabel470">
    <w:name w:val="ListLabel 470"/>
    <w:qFormat/>
    <w:rPr>
      <w:rFonts w:cs="OpenSymbol"/>
    </w:rPr>
  </w:style>
  <w:style w:type="character" w:styleId="ListLabel471">
    <w:name w:val="ListLabel 471"/>
    <w:qFormat/>
    <w:rPr>
      <w:rFonts w:cs="OpenSymbol"/>
    </w:rPr>
  </w:style>
  <w:style w:type="character" w:styleId="ListLabel472">
    <w:name w:val="ListLabel 472"/>
    <w:qFormat/>
    <w:rPr>
      <w:rFonts w:cs="OpenSymbol"/>
    </w:rPr>
  </w:style>
  <w:style w:type="character" w:styleId="ListLabel473">
    <w:name w:val="ListLabel 473"/>
    <w:qFormat/>
    <w:rPr>
      <w:rFonts w:cs="OpenSymbol"/>
    </w:rPr>
  </w:style>
  <w:style w:type="character" w:styleId="ListLabel474">
    <w:name w:val="ListLabel 474"/>
    <w:qFormat/>
    <w:rPr>
      <w:rFonts w:cs="OpenSymbol"/>
    </w:rPr>
  </w:style>
  <w:style w:type="character" w:styleId="ListLabel475">
    <w:name w:val="ListLabel 475"/>
    <w:qFormat/>
    <w:rPr>
      <w:rFonts w:cs="OpenSymbol"/>
    </w:rPr>
  </w:style>
  <w:style w:type="character" w:styleId="ListLabel476">
    <w:name w:val="ListLabel 476"/>
    <w:qFormat/>
    <w:rPr>
      <w:rFonts w:cs="OpenSymbol"/>
    </w:rPr>
  </w:style>
  <w:style w:type="character" w:styleId="ListLabel477">
    <w:name w:val="ListLabel 477"/>
    <w:qFormat/>
    <w:rPr>
      <w:rFonts w:cs="OpenSymbol"/>
    </w:rPr>
  </w:style>
  <w:style w:type="character" w:styleId="ListLabel478">
    <w:name w:val="ListLabel 478"/>
    <w:qFormat/>
    <w:rPr>
      <w:rFonts w:cs="OpenSymbol"/>
      <w:sz w:val="24"/>
    </w:rPr>
  </w:style>
  <w:style w:type="character" w:styleId="ListLabel479">
    <w:name w:val="ListLabel 479"/>
    <w:qFormat/>
    <w:rPr>
      <w:rFonts w:cs="OpenSymbol"/>
    </w:rPr>
  </w:style>
  <w:style w:type="character" w:styleId="ListLabel480">
    <w:name w:val="ListLabel 480"/>
    <w:qFormat/>
    <w:rPr>
      <w:rFonts w:cs="OpenSymbol"/>
    </w:rPr>
  </w:style>
  <w:style w:type="character" w:styleId="ListLabel481">
    <w:name w:val="ListLabel 481"/>
    <w:qFormat/>
    <w:rPr>
      <w:rFonts w:cs="OpenSymbol"/>
    </w:rPr>
  </w:style>
  <w:style w:type="character" w:styleId="ListLabel482">
    <w:name w:val="ListLabel 482"/>
    <w:qFormat/>
    <w:rPr>
      <w:rFonts w:cs="OpenSymbol"/>
    </w:rPr>
  </w:style>
  <w:style w:type="character" w:styleId="ListLabel483">
    <w:name w:val="ListLabel 483"/>
    <w:qFormat/>
    <w:rPr>
      <w:rFonts w:cs="OpenSymbol"/>
    </w:rPr>
  </w:style>
  <w:style w:type="character" w:styleId="ListLabel484">
    <w:name w:val="ListLabel 484"/>
    <w:qFormat/>
    <w:rPr>
      <w:rFonts w:cs="OpenSymbol"/>
    </w:rPr>
  </w:style>
  <w:style w:type="character" w:styleId="ListLabel485">
    <w:name w:val="ListLabel 485"/>
    <w:qFormat/>
    <w:rPr>
      <w:rFonts w:cs="OpenSymbol"/>
    </w:rPr>
  </w:style>
  <w:style w:type="character" w:styleId="ListLabel486">
    <w:name w:val="ListLabel 486"/>
    <w:qFormat/>
    <w:rPr>
      <w:rFonts w:cs="OpenSymbol"/>
    </w:rPr>
  </w:style>
  <w:style w:type="character" w:styleId="ListLabel487">
    <w:name w:val="ListLabel 487"/>
    <w:qFormat/>
    <w:rPr>
      <w:rFonts w:cs="OpenSymbol"/>
      <w:b w:val="false"/>
      <w:sz w:val="23"/>
    </w:rPr>
  </w:style>
  <w:style w:type="character" w:styleId="ListLabel488">
    <w:name w:val="ListLabel 488"/>
    <w:qFormat/>
    <w:rPr>
      <w:rFonts w:cs="OpenSymbol"/>
    </w:rPr>
  </w:style>
  <w:style w:type="character" w:styleId="ListLabel489">
    <w:name w:val="ListLabel 489"/>
    <w:qFormat/>
    <w:rPr>
      <w:rFonts w:cs="OpenSymbol"/>
    </w:rPr>
  </w:style>
  <w:style w:type="character" w:styleId="ListLabel490">
    <w:name w:val="ListLabel 490"/>
    <w:qFormat/>
    <w:rPr>
      <w:rFonts w:cs="OpenSymbol"/>
    </w:rPr>
  </w:style>
  <w:style w:type="character" w:styleId="ListLabel491">
    <w:name w:val="ListLabel 491"/>
    <w:qFormat/>
    <w:rPr>
      <w:rFonts w:cs="OpenSymbol"/>
    </w:rPr>
  </w:style>
  <w:style w:type="character" w:styleId="ListLabel492">
    <w:name w:val="ListLabel 492"/>
    <w:qFormat/>
    <w:rPr>
      <w:rFonts w:cs="OpenSymbol"/>
    </w:rPr>
  </w:style>
  <w:style w:type="character" w:styleId="ListLabel493">
    <w:name w:val="ListLabel 493"/>
    <w:qFormat/>
    <w:rPr>
      <w:rFonts w:cs="OpenSymbol"/>
    </w:rPr>
  </w:style>
  <w:style w:type="character" w:styleId="ListLabel494">
    <w:name w:val="ListLabel 494"/>
    <w:qFormat/>
    <w:rPr>
      <w:rFonts w:cs="OpenSymbol"/>
    </w:rPr>
  </w:style>
  <w:style w:type="character" w:styleId="ListLabel495">
    <w:name w:val="ListLabel 495"/>
    <w:qFormat/>
    <w:rPr>
      <w:rFonts w:cs="OpenSymbol"/>
    </w:rPr>
  </w:style>
  <w:style w:type="character" w:styleId="ListLabel496">
    <w:name w:val="ListLabel 496"/>
    <w:qFormat/>
    <w:rPr>
      <w:rFonts w:cs="OpenSymbol"/>
      <w:sz w:val="23"/>
    </w:rPr>
  </w:style>
  <w:style w:type="character" w:styleId="ListLabel497">
    <w:name w:val="ListLabel 497"/>
    <w:qFormat/>
    <w:rPr>
      <w:rFonts w:cs="OpenSymbol"/>
    </w:rPr>
  </w:style>
  <w:style w:type="character" w:styleId="ListLabel498">
    <w:name w:val="ListLabel 498"/>
    <w:qFormat/>
    <w:rPr>
      <w:rFonts w:cs="OpenSymbol"/>
    </w:rPr>
  </w:style>
  <w:style w:type="character" w:styleId="ListLabel499">
    <w:name w:val="ListLabel 499"/>
    <w:qFormat/>
    <w:rPr>
      <w:rFonts w:cs="OpenSymbol"/>
    </w:rPr>
  </w:style>
  <w:style w:type="character" w:styleId="ListLabel500">
    <w:name w:val="ListLabel 500"/>
    <w:qFormat/>
    <w:rPr>
      <w:rFonts w:cs="OpenSymbol"/>
    </w:rPr>
  </w:style>
  <w:style w:type="character" w:styleId="ListLabel501">
    <w:name w:val="ListLabel 501"/>
    <w:qFormat/>
    <w:rPr>
      <w:rFonts w:cs="OpenSymbol"/>
    </w:rPr>
  </w:style>
  <w:style w:type="character" w:styleId="ListLabel502">
    <w:name w:val="ListLabel 502"/>
    <w:qFormat/>
    <w:rPr>
      <w:rFonts w:cs="OpenSymbol"/>
    </w:rPr>
  </w:style>
  <w:style w:type="character" w:styleId="ListLabel503">
    <w:name w:val="ListLabel 503"/>
    <w:qFormat/>
    <w:rPr>
      <w:rFonts w:cs="OpenSymbol"/>
    </w:rPr>
  </w:style>
  <w:style w:type="character" w:styleId="ListLabel504">
    <w:name w:val="ListLabel 504"/>
    <w:qFormat/>
    <w:rPr>
      <w:rFonts w:cs="OpenSymbol"/>
    </w:rPr>
  </w:style>
  <w:style w:type="character" w:styleId="ListLabel505">
    <w:name w:val="ListLabel 505"/>
    <w:qFormat/>
    <w:rPr>
      <w:rFonts w:cs="OpenSymbol"/>
      <w:sz w:val="24"/>
    </w:rPr>
  </w:style>
  <w:style w:type="character" w:styleId="ListLabel506">
    <w:name w:val="ListLabel 506"/>
    <w:qFormat/>
    <w:rPr>
      <w:rFonts w:cs="OpenSymbol"/>
    </w:rPr>
  </w:style>
  <w:style w:type="character" w:styleId="ListLabel507">
    <w:name w:val="ListLabel 507"/>
    <w:qFormat/>
    <w:rPr>
      <w:rFonts w:cs="OpenSymbol"/>
    </w:rPr>
  </w:style>
  <w:style w:type="character" w:styleId="ListLabel508">
    <w:name w:val="ListLabel 508"/>
    <w:qFormat/>
    <w:rPr>
      <w:rFonts w:cs="OpenSymbol"/>
    </w:rPr>
  </w:style>
  <w:style w:type="character" w:styleId="ListLabel509">
    <w:name w:val="ListLabel 509"/>
    <w:qFormat/>
    <w:rPr>
      <w:rFonts w:cs="OpenSymbol"/>
    </w:rPr>
  </w:style>
  <w:style w:type="character" w:styleId="ListLabel510">
    <w:name w:val="ListLabel 510"/>
    <w:qFormat/>
    <w:rPr>
      <w:rFonts w:cs="OpenSymbol"/>
    </w:rPr>
  </w:style>
  <w:style w:type="character" w:styleId="ListLabel511">
    <w:name w:val="ListLabel 511"/>
    <w:qFormat/>
    <w:rPr>
      <w:rFonts w:cs="OpenSymbol"/>
    </w:rPr>
  </w:style>
  <w:style w:type="character" w:styleId="ListLabel512">
    <w:name w:val="ListLabel 512"/>
    <w:qFormat/>
    <w:rPr>
      <w:rFonts w:cs="OpenSymbol"/>
    </w:rPr>
  </w:style>
  <w:style w:type="character" w:styleId="ListLabel513">
    <w:name w:val="ListLabel 513"/>
    <w:qFormat/>
    <w:rPr>
      <w:rFonts w:cs="OpenSymbol"/>
    </w:rPr>
  </w:style>
  <w:style w:type="character" w:styleId="ListLabel514">
    <w:name w:val="ListLabel 514"/>
    <w:qFormat/>
    <w:rPr>
      <w:rFonts w:cs="OpenSymbol"/>
      <w:b w:val="false"/>
      <w:sz w:val="23"/>
    </w:rPr>
  </w:style>
  <w:style w:type="character" w:styleId="ListLabel515">
    <w:name w:val="ListLabel 515"/>
    <w:qFormat/>
    <w:rPr>
      <w:rFonts w:cs="OpenSymbol"/>
    </w:rPr>
  </w:style>
  <w:style w:type="character" w:styleId="ListLabel516">
    <w:name w:val="ListLabel 516"/>
    <w:qFormat/>
    <w:rPr>
      <w:rFonts w:cs="OpenSymbol"/>
    </w:rPr>
  </w:style>
  <w:style w:type="character" w:styleId="ListLabel517">
    <w:name w:val="ListLabel 517"/>
    <w:qFormat/>
    <w:rPr>
      <w:rFonts w:cs="OpenSymbol"/>
    </w:rPr>
  </w:style>
  <w:style w:type="character" w:styleId="ListLabel518">
    <w:name w:val="ListLabel 518"/>
    <w:qFormat/>
    <w:rPr>
      <w:rFonts w:cs="OpenSymbol"/>
    </w:rPr>
  </w:style>
  <w:style w:type="character" w:styleId="ListLabel519">
    <w:name w:val="ListLabel 519"/>
    <w:qFormat/>
    <w:rPr>
      <w:rFonts w:cs="OpenSymbol"/>
    </w:rPr>
  </w:style>
  <w:style w:type="character" w:styleId="ListLabel520">
    <w:name w:val="ListLabel 520"/>
    <w:qFormat/>
    <w:rPr>
      <w:rFonts w:cs="OpenSymbol"/>
    </w:rPr>
  </w:style>
  <w:style w:type="character" w:styleId="ListLabel521">
    <w:name w:val="ListLabel 521"/>
    <w:qFormat/>
    <w:rPr>
      <w:rFonts w:cs="OpenSymbol"/>
    </w:rPr>
  </w:style>
  <w:style w:type="character" w:styleId="ListLabel522">
    <w:name w:val="ListLabel 522"/>
    <w:qFormat/>
    <w:rPr>
      <w:rFonts w:cs="OpenSymbol"/>
    </w:rPr>
  </w:style>
  <w:style w:type="character" w:styleId="ListLabel523">
    <w:name w:val="ListLabel 523"/>
    <w:qFormat/>
    <w:rPr>
      <w:rFonts w:cs="OpenSymbol"/>
      <w:sz w:val="23"/>
    </w:rPr>
  </w:style>
  <w:style w:type="character" w:styleId="ListLabel524">
    <w:name w:val="ListLabel 524"/>
    <w:qFormat/>
    <w:rPr>
      <w:rFonts w:cs="OpenSymbol"/>
    </w:rPr>
  </w:style>
  <w:style w:type="character" w:styleId="ListLabel525">
    <w:name w:val="ListLabel 525"/>
    <w:qFormat/>
    <w:rPr>
      <w:rFonts w:cs="OpenSymbol"/>
    </w:rPr>
  </w:style>
  <w:style w:type="character" w:styleId="ListLabel526">
    <w:name w:val="ListLabel 526"/>
    <w:qFormat/>
    <w:rPr>
      <w:rFonts w:cs="OpenSymbol"/>
    </w:rPr>
  </w:style>
  <w:style w:type="character" w:styleId="ListLabel527">
    <w:name w:val="ListLabel 527"/>
    <w:qFormat/>
    <w:rPr>
      <w:rFonts w:cs="OpenSymbol"/>
    </w:rPr>
  </w:style>
  <w:style w:type="character" w:styleId="ListLabel528">
    <w:name w:val="ListLabel 528"/>
    <w:qFormat/>
    <w:rPr>
      <w:rFonts w:cs="OpenSymbol"/>
    </w:rPr>
  </w:style>
  <w:style w:type="character" w:styleId="ListLabel529">
    <w:name w:val="ListLabel 529"/>
    <w:qFormat/>
    <w:rPr>
      <w:rFonts w:cs="OpenSymbol"/>
    </w:rPr>
  </w:style>
  <w:style w:type="character" w:styleId="ListLabel530">
    <w:name w:val="ListLabel 530"/>
    <w:qFormat/>
    <w:rPr>
      <w:rFonts w:cs="OpenSymbol"/>
    </w:rPr>
  </w:style>
  <w:style w:type="character" w:styleId="ListLabel531">
    <w:name w:val="ListLabel 531"/>
    <w:qFormat/>
    <w:rPr>
      <w:rFonts w:cs="OpenSymbol"/>
    </w:rPr>
  </w:style>
  <w:style w:type="character" w:styleId="ListLabel532">
    <w:name w:val="ListLabel 532"/>
    <w:qFormat/>
    <w:rPr>
      <w:rFonts w:cs="OpenSymbol"/>
      <w:sz w:val="24"/>
    </w:rPr>
  </w:style>
  <w:style w:type="character" w:styleId="ListLabel533">
    <w:name w:val="ListLabel 533"/>
    <w:qFormat/>
    <w:rPr>
      <w:rFonts w:cs="OpenSymbol"/>
    </w:rPr>
  </w:style>
  <w:style w:type="character" w:styleId="ListLabel534">
    <w:name w:val="ListLabel 534"/>
    <w:qFormat/>
    <w:rPr>
      <w:rFonts w:cs="OpenSymbol"/>
    </w:rPr>
  </w:style>
  <w:style w:type="character" w:styleId="ListLabel535">
    <w:name w:val="ListLabel 535"/>
    <w:qFormat/>
    <w:rPr>
      <w:rFonts w:cs="OpenSymbol"/>
    </w:rPr>
  </w:style>
  <w:style w:type="character" w:styleId="ListLabel536">
    <w:name w:val="ListLabel 536"/>
    <w:qFormat/>
    <w:rPr>
      <w:rFonts w:cs="OpenSymbol"/>
    </w:rPr>
  </w:style>
  <w:style w:type="character" w:styleId="ListLabel537">
    <w:name w:val="ListLabel 537"/>
    <w:qFormat/>
    <w:rPr>
      <w:rFonts w:cs="OpenSymbol"/>
    </w:rPr>
  </w:style>
  <w:style w:type="character" w:styleId="ListLabel538">
    <w:name w:val="ListLabel 538"/>
    <w:qFormat/>
    <w:rPr>
      <w:rFonts w:cs="OpenSymbol"/>
    </w:rPr>
  </w:style>
  <w:style w:type="character" w:styleId="ListLabel539">
    <w:name w:val="ListLabel 539"/>
    <w:qFormat/>
    <w:rPr>
      <w:rFonts w:cs="OpenSymbol"/>
    </w:rPr>
  </w:style>
  <w:style w:type="character" w:styleId="ListLabel540">
    <w:name w:val="ListLabel 540"/>
    <w:qFormat/>
    <w:rPr>
      <w:rFonts w:cs="OpenSymbol"/>
    </w:rPr>
  </w:style>
  <w:style w:type="character" w:styleId="ListLabel541">
    <w:name w:val="ListLabel 541"/>
    <w:qFormat/>
    <w:rPr>
      <w:rFonts w:cs="OpenSymbol"/>
      <w:b w:val="false"/>
      <w:sz w:val="23"/>
    </w:rPr>
  </w:style>
  <w:style w:type="character" w:styleId="ListLabel542">
    <w:name w:val="ListLabel 542"/>
    <w:qFormat/>
    <w:rPr>
      <w:rFonts w:cs="OpenSymbol"/>
    </w:rPr>
  </w:style>
  <w:style w:type="character" w:styleId="ListLabel543">
    <w:name w:val="ListLabel 543"/>
    <w:qFormat/>
    <w:rPr>
      <w:rFonts w:cs="OpenSymbol"/>
    </w:rPr>
  </w:style>
  <w:style w:type="character" w:styleId="ListLabel544">
    <w:name w:val="ListLabel 544"/>
    <w:qFormat/>
    <w:rPr>
      <w:rFonts w:cs="OpenSymbol"/>
    </w:rPr>
  </w:style>
  <w:style w:type="character" w:styleId="ListLabel545">
    <w:name w:val="ListLabel 545"/>
    <w:qFormat/>
    <w:rPr>
      <w:rFonts w:cs="OpenSymbol"/>
    </w:rPr>
  </w:style>
  <w:style w:type="character" w:styleId="ListLabel546">
    <w:name w:val="ListLabel 546"/>
    <w:qFormat/>
    <w:rPr>
      <w:rFonts w:cs="OpenSymbol"/>
    </w:rPr>
  </w:style>
  <w:style w:type="character" w:styleId="ListLabel547">
    <w:name w:val="ListLabel 547"/>
    <w:qFormat/>
    <w:rPr>
      <w:rFonts w:cs="OpenSymbol"/>
    </w:rPr>
  </w:style>
  <w:style w:type="character" w:styleId="ListLabel548">
    <w:name w:val="ListLabel 548"/>
    <w:qFormat/>
    <w:rPr>
      <w:rFonts w:cs="OpenSymbol"/>
    </w:rPr>
  </w:style>
  <w:style w:type="character" w:styleId="ListLabel549">
    <w:name w:val="ListLabel 549"/>
    <w:qFormat/>
    <w:rPr>
      <w:rFonts w:cs="OpenSymbol"/>
    </w:rPr>
  </w:style>
  <w:style w:type="character" w:styleId="ListLabel550">
    <w:name w:val="ListLabel 550"/>
    <w:qFormat/>
    <w:rPr>
      <w:rFonts w:cs="OpenSymbol"/>
      <w:sz w:val="23"/>
    </w:rPr>
  </w:style>
  <w:style w:type="character" w:styleId="ListLabel551">
    <w:name w:val="ListLabel 551"/>
    <w:qFormat/>
    <w:rPr>
      <w:rFonts w:cs="OpenSymbol"/>
    </w:rPr>
  </w:style>
  <w:style w:type="character" w:styleId="ListLabel552">
    <w:name w:val="ListLabel 552"/>
    <w:qFormat/>
    <w:rPr>
      <w:rFonts w:cs="OpenSymbol"/>
    </w:rPr>
  </w:style>
  <w:style w:type="character" w:styleId="ListLabel553">
    <w:name w:val="ListLabel 553"/>
    <w:qFormat/>
    <w:rPr>
      <w:rFonts w:cs="OpenSymbol"/>
    </w:rPr>
  </w:style>
  <w:style w:type="character" w:styleId="ListLabel554">
    <w:name w:val="ListLabel 554"/>
    <w:qFormat/>
    <w:rPr>
      <w:rFonts w:cs="OpenSymbol"/>
    </w:rPr>
  </w:style>
  <w:style w:type="character" w:styleId="ListLabel555">
    <w:name w:val="ListLabel 555"/>
    <w:qFormat/>
    <w:rPr>
      <w:rFonts w:cs="OpenSymbol"/>
    </w:rPr>
  </w:style>
  <w:style w:type="character" w:styleId="ListLabel556">
    <w:name w:val="ListLabel 556"/>
    <w:qFormat/>
    <w:rPr>
      <w:rFonts w:cs="OpenSymbol"/>
    </w:rPr>
  </w:style>
  <w:style w:type="character" w:styleId="ListLabel557">
    <w:name w:val="ListLabel 557"/>
    <w:qFormat/>
    <w:rPr>
      <w:rFonts w:cs="OpenSymbol"/>
    </w:rPr>
  </w:style>
  <w:style w:type="character" w:styleId="ListLabel558">
    <w:name w:val="ListLabel 558"/>
    <w:qFormat/>
    <w:rPr>
      <w:rFonts w:cs="OpenSymbol"/>
    </w:rPr>
  </w:style>
  <w:style w:type="character" w:styleId="ListLabel559">
    <w:name w:val="ListLabel 559"/>
    <w:qFormat/>
    <w:rPr>
      <w:rFonts w:cs="OpenSymbol"/>
      <w:sz w:val="24"/>
    </w:rPr>
  </w:style>
  <w:style w:type="character" w:styleId="ListLabel560">
    <w:name w:val="ListLabel 560"/>
    <w:qFormat/>
    <w:rPr>
      <w:rFonts w:cs="OpenSymbol"/>
    </w:rPr>
  </w:style>
  <w:style w:type="character" w:styleId="ListLabel561">
    <w:name w:val="ListLabel 561"/>
    <w:qFormat/>
    <w:rPr>
      <w:rFonts w:cs="OpenSymbol"/>
    </w:rPr>
  </w:style>
  <w:style w:type="character" w:styleId="ListLabel562">
    <w:name w:val="ListLabel 562"/>
    <w:qFormat/>
    <w:rPr>
      <w:rFonts w:cs="OpenSymbol"/>
    </w:rPr>
  </w:style>
  <w:style w:type="character" w:styleId="ListLabel563">
    <w:name w:val="ListLabel 563"/>
    <w:qFormat/>
    <w:rPr>
      <w:rFonts w:cs="OpenSymbol"/>
    </w:rPr>
  </w:style>
  <w:style w:type="character" w:styleId="ListLabel564">
    <w:name w:val="ListLabel 564"/>
    <w:qFormat/>
    <w:rPr>
      <w:rFonts w:cs="OpenSymbol"/>
    </w:rPr>
  </w:style>
  <w:style w:type="character" w:styleId="ListLabel565">
    <w:name w:val="ListLabel 565"/>
    <w:qFormat/>
    <w:rPr>
      <w:rFonts w:cs="OpenSymbol"/>
    </w:rPr>
  </w:style>
  <w:style w:type="character" w:styleId="ListLabel566">
    <w:name w:val="ListLabel 566"/>
    <w:qFormat/>
    <w:rPr>
      <w:rFonts w:cs="OpenSymbol"/>
    </w:rPr>
  </w:style>
  <w:style w:type="character" w:styleId="ListLabel567">
    <w:name w:val="ListLabel 567"/>
    <w:qFormat/>
    <w:rPr>
      <w:rFonts w:cs="OpenSymbol"/>
    </w:rPr>
  </w:style>
  <w:style w:type="character" w:styleId="ListLabel568">
    <w:name w:val="ListLabel 568"/>
    <w:qFormat/>
    <w:rPr>
      <w:rFonts w:cs="OpenSymbol"/>
      <w:b w:val="false"/>
      <w:sz w:val="23"/>
    </w:rPr>
  </w:style>
  <w:style w:type="character" w:styleId="ListLabel569">
    <w:name w:val="ListLabel 569"/>
    <w:qFormat/>
    <w:rPr>
      <w:rFonts w:cs="OpenSymbol"/>
    </w:rPr>
  </w:style>
  <w:style w:type="character" w:styleId="ListLabel570">
    <w:name w:val="ListLabel 570"/>
    <w:qFormat/>
    <w:rPr>
      <w:rFonts w:cs="OpenSymbol"/>
    </w:rPr>
  </w:style>
  <w:style w:type="character" w:styleId="ListLabel571">
    <w:name w:val="ListLabel 571"/>
    <w:qFormat/>
    <w:rPr>
      <w:rFonts w:cs="OpenSymbol"/>
    </w:rPr>
  </w:style>
  <w:style w:type="character" w:styleId="ListLabel572">
    <w:name w:val="ListLabel 572"/>
    <w:qFormat/>
    <w:rPr>
      <w:rFonts w:cs="OpenSymbol"/>
    </w:rPr>
  </w:style>
  <w:style w:type="character" w:styleId="ListLabel573">
    <w:name w:val="ListLabel 573"/>
    <w:qFormat/>
    <w:rPr>
      <w:rFonts w:cs="OpenSymbol"/>
    </w:rPr>
  </w:style>
  <w:style w:type="character" w:styleId="ListLabel574">
    <w:name w:val="ListLabel 574"/>
    <w:qFormat/>
    <w:rPr>
      <w:rFonts w:cs="OpenSymbol"/>
    </w:rPr>
  </w:style>
  <w:style w:type="character" w:styleId="ListLabel575">
    <w:name w:val="ListLabel 575"/>
    <w:qFormat/>
    <w:rPr>
      <w:rFonts w:cs="OpenSymbol"/>
    </w:rPr>
  </w:style>
  <w:style w:type="character" w:styleId="ListLabel576">
    <w:name w:val="ListLabel 576"/>
    <w:qFormat/>
    <w:rPr>
      <w:rFonts w:cs="OpenSymbol"/>
    </w:rPr>
  </w:style>
  <w:style w:type="character" w:styleId="ListLabel577">
    <w:name w:val="ListLabel 577"/>
    <w:qFormat/>
    <w:rPr>
      <w:rFonts w:cs="OpenSymbol"/>
      <w:sz w:val="23"/>
    </w:rPr>
  </w:style>
  <w:style w:type="character" w:styleId="ListLabel578">
    <w:name w:val="ListLabel 578"/>
    <w:qFormat/>
    <w:rPr>
      <w:rFonts w:cs="OpenSymbol"/>
    </w:rPr>
  </w:style>
  <w:style w:type="character" w:styleId="ListLabel579">
    <w:name w:val="ListLabel 579"/>
    <w:qFormat/>
    <w:rPr>
      <w:rFonts w:cs="OpenSymbol"/>
    </w:rPr>
  </w:style>
  <w:style w:type="character" w:styleId="ListLabel580">
    <w:name w:val="ListLabel 580"/>
    <w:qFormat/>
    <w:rPr>
      <w:rFonts w:cs="OpenSymbol"/>
    </w:rPr>
  </w:style>
  <w:style w:type="character" w:styleId="ListLabel581">
    <w:name w:val="ListLabel 581"/>
    <w:qFormat/>
    <w:rPr>
      <w:rFonts w:cs="OpenSymbol"/>
    </w:rPr>
  </w:style>
  <w:style w:type="character" w:styleId="ListLabel582">
    <w:name w:val="ListLabel 582"/>
    <w:qFormat/>
    <w:rPr>
      <w:rFonts w:cs="OpenSymbol"/>
    </w:rPr>
  </w:style>
  <w:style w:type="character" w:styleId="ListLabel583">
    <w:name w:val="ListLabel 583"/>
    <w:qFormat/>
    <w:rPr>
      <w:rFonts w:cs="OpenSymbol"/>
    </w:rPr>
  </w:style>
  <w:style w:type="character" w:styleId="ListLabel584">
    <w:name w:val="ListLabel 584"/>
    <w:qFormat/>
    <w:rPr>
      <w:rFonts w:cs="OpenSymbol"/>
    </w:rPr>
  </w:style>
  <w:style w:type="character" w:styleId="ListLabel585">
    <w:name w:val="ListLabel 585"/>
    <w:qFormat/>
    <w:rPr>
      <w:rFonts w:cs="OpenSymbol"/>
    </w:rPr>
  </w:style>
  <w:style w:type="character" w:styleId="ListLabel586">
    <w:name w:val="ListLabel 586"/>
    <w:qFormat/>
    <w:rPr>
      <w:rFonts w:cs="OpenSymbol"/>
      <w:sz w:val="24"/>
    </w:rPr>
  </w:style>
  <w:style w:type="character" w:styleId="ListLabel587">
    <w:name w:val="ListLabel 587"/>
    <w:qFormat/>
    <w:rPr>
      <w:rFonts w:cs="OpenSymbol"/>
    </w:rPr>
  </w:style>
  <w:style w:type="character" w:styleId="ListLabel588">
    <w:name w:val="ListLabel 588"/>
    <w:qFormat/>
    <w:rPr>
      <w:rFonts w:cs="OpenSymbol"/>
    </w:rPr>
  </w:style>
  <w:style w:type="character" w:styleId="ListLabel589">
    <w:name w:val="ListLabel 589"/>
    <w:qFormat/>
    <w:rPr>
      <w:rFonts w:cs="OpenSymbol"/>
    </w:rPr>
  </w:style>
  <w:style w:type="character" w:styleId="ListLabel590">
    <w:name w:val="ListLabel 590"/>
    <w:qFormat/>
    <w:rPr>
      <w:rFonts w:cs="OpenSymbol"/>
    </w:rPr>
  </w:style>
  <w:style w:type="character" w:styleId="ListLabel591">
    <w:name w:val="ListLabel 591"/>
    <w:qFormat/>
    <w:rPr>
      <w:rFonts w:cs="OpenSymbol"/>
    </w:rPr>
  </w:style>
  <w:style w:type="character" w:styleId="ListLabel592">
    <w:name w:val="ListLabel 592"/>
    <w:qFormat/>
    <w:rPr>
      <w:rFonts w:cs="OpenSymbol"/>
    </w:rPr>
  </w:style>
  <w:style w:type="character" w:styleId="ListLabel593">
    <w:name w:val="ListLabel 593"/>
    <w:qFormat/>
    <w:rPr>
      <w:rFonts w:cs="OpenSymbol"/>
    </w:rPr>
  </w:style>
  <w:style w:type="character" w:styleId="ListLabel594">
    <w:name w:val="ListLabel 594"/>
    <w:qFormat/>
    <w:rPr>
      <w:rFonts w:cs="OpenSymbol"/>
    </w:rPr>
  </w:style>
  <w:style w:type="character" w:styleId="ListLabel595">
    <w:name w:val="ListLabel 595"/>
    <w:qFormat/>
    <w:rPr>
      <w:rFonts w:cs="OpenSymbol"/>
      <w:b w:val="false"/>
      <w:sz w:val="23"/>
    </w:rPr>
  </w:style>
  <w:style w:type="character" w:styleId="ListLabel596">
    <w:name w:val="ListLabel 596"/>
    <w:qFormat/>
    <w:rPr>
      <w:rFonts w:cs="OpenSymbol"/>
    </w:rPr>
  </w:style>
  <w:style w:type="character" w:styleId="ListLabel597">
    <w:name w:val="ListLabel 597"/>
    <w:qFormat/>
    <w:rPr>
      <w:rFonts w:cs="OpenSymbol"/>
    </w:rPr>
  </w:style>
  <w:style w:type="character" w:styleId="ListLabel598">
    <w:name w:val="ListLabel 598"/>
    <w:qFormat/>
    <w:rPr>
      <w:rFonts w:cs="OpenSymbol"/>
    </w:rPr>
  </w:style>
  <w:style w:type="character" w:styleId="ListLabel599">
    <w:name w:val="ListLabel 599"/>
    <w:qFormat/>
    <w:rPr>
      <w:rFonts w:cs="OpenSymbol"/>
    </w:rPr>
  </w:style>
  <w:style w:type="character" w:styleId="ListLabel600">
    <w:name w:val="ListLabel 600"/>
    <w:qFormat/>
    <w:rPr>
      <w:rFonts w:cs="OpenSymbol"/>
    </w:rPr>
  </w:style>
  <w:style w:type="character" w:styleId="ListLabel601">
    <w:name w:val="ListLabel 601"/>
    <w:qFormat/>
    <w:rPr>
      <w:rFonts w:cs="OpenSymbol"/>
    </w:rPr>
  </w:style>
  <w:style w:type="character" w:styleId="ListLabel602">
    <w:name w:val="ListLabel 602"/>
    <w:qFormat/>
    <w:rPr>
      <w:rFonts w:cs="OpenSymbol"/>
    </w:rPr>
  </w:style>
  <w:style w:type="character" w:styleId="ListLabel603">
    <w:name w:val="ListLabel 603"/>
    <w:qFormat/>
    <w:rPr>
      <w:rFonts w:cs="OpenSymbol"/>
    </w:rPr>
  </w:style>
  <w:style w:type="character" w:styleId="ListLabel604">
    <w:name w:val="ListLabel 604"/>
    <w:qFormat/>
    <w:rPr>
      <w:rFonts w:cs="OpenSymbol"/>
      <w:sz w:val="23"/>
    </w:rPr>
  </w:style>
  <w:style w:type="character" w:styleId="ListLabel605">
    <w:name w:val="ListLabel 605"/>
    <w:qFormat/>
    <w:rPr>
      <w:rFonts w:cs="OpenSymbol"/>
    </w:rPr>
  </w:style>
  <w:style w:type="character" w:styleId="ListLabel606">
    <w:name w:val="ListLabel 606"/>
    <w:qFormat/>
    <w:rPr>
      <w:rFonts w:cs="OpenSymbol"/>
    </w:rPr>
  </w:style>
  <w:style w:type="character" w:styleId="ListLabel607">
    <w:name w:val="ListLabel 607"/>
    <w:qFormat/>
    <w:rPr>
      <w:rFonts w:cs="OpenSymbol"/>
    </w:rPr>
  </w:style>
  <w:style w:type="character" w:styleId="ListLabel608">
    <w:name w:val="ListLabel 608"/>
    <w:qFormat/>
    <w:rPr>
      <w:rFonts w:cs="OpenSymbol"/>
    </w:rPr>
  </w:style>
  <w:style w:type="character" w:styleId="ListLabel609">
    <w:name w:val="ListLabel 609"/>
    <w:qFormat/>
    <w:rPr>
      <w:rFonts w:cs="OpenSymbol"/>
    </w:rPr>
  </w:style>
  <w:style w:type="character" w:styleId="ListLabel610">
    <w:name w:val="ListLabel 610"/>
    <w:qFormat/>
    <w:rPr>
      <w:rFonts w:cs="OpenSymbol"/>
    </w:rPr>
  </w:style>
  <w:style w:type="character" w:styleId="ListLabel611">
    <w:name w:val="ListLabel 611"/>
    <w:qFormat/>
    <w:rPr>
      <w:rFonts w:cs="OpenSymbol"/>
    </w:rPr>
  </w:style>
  <w:style w:type="character" w:styleId="ListLabel612">
    <w:name w:val="ListLabel 612"/>
    <w:qFormat/>
    <w:rPr>
      <w:rFonts w:cs="OpenSymbol"/>
    </w:rPr>
  </w:style>
  <w:style w:type="character" w:styleId="ListLabel613">
    <w:name w:val="ListLabel 613"/>
    <w:qFormat/>
    <w:rPr>
      <w:rFonts w:cs="OpenSymbol"/>
      <w:sz w:val="24"/>
    </w:rPr>
  </w:style>
  <w:style w:type="character" w:styleId="ListLabel614">
    <w:name w:val="ListLabel 614"/>
    <w:qFormat/>
    <w:rPr>
      <w:rFonts w:cs="OpenSymbol"/>
    </w:rPr>
  </w:style>
  <w:style w:type="character" w:styleId="ListLabel615">
    <w:name w:val="ListLabel 615"/>
    <w:qFormat/>
    <w:rPr>
      <w:rFonts w:cs="OpenSymbol"/>
    </w:rPr>
  </w:style>
  <w:style w:type="character" w:styleId="ListLabel616">
    <w:name w:val="ListLabel 616"/>
    <w:qFormat/>
    <w:rPr>
      <w:rFonts w:cs="OpenSymbol"/>
    </w:rPr>
  </w:style>
  <w:style w:type="character" w:styleId="ListLabel617">
    <w:name w:val="ListLabel 617"/>
    <w:qFormat/>
    <w:rPr>
      <w:rFonts w:cs="OpenSymbol"/>
    </w:rPr>
  </w:style>
  <w:style w:type="character" w:styleId="ListLabel618">
    <w:name w:val="ListLabel 618"/>
    <w:qFormat/>
    <w:rPr>
      <w:rFonts w:cs="OpenSymbol"/>
    </w:rPr>
  </w:style>
  <w:style w:type="character" w:styleId="ListLabel619">
    <w:name w:val="ListLabel 619"/>
    <w:qFormat/>
    <w:rPr>
      <w:rFonts w:cs="OpenSymbol"/>
    </w:rPr>
  </w:style>
  <w:style w:type="character" w:styleId="ListLabel620">
    <w:name w:val="ListLabel 620"/>
    <w:qFormat/>
    <w:rPr>
      <w:rFonts w:cs="OpenSymbol"/>
    </w:rPr>
  </w:style>
  <w:style w:type="character" w:styleId="ListLabel621">
    <w:name w:val="ListLabel 621"/>
    <w:qFormat/>
    <w:rPr>
      <w:rFonts w:cs="OpenSymbol"/>
    </w:rPr>
  </w:style>
  <w:style w:type="character" w:styleId="ListLabel622">
    <w:name w:val="ListLabel 622"/>
    <w:qFormat/>
    <w:rPr>
      <w:rFonts w:cs="OpenSymbol"/>
      <w:b w:val="false"/>
      <w:sz w:val="23"/>
    </w:rPr>
  </w:style>
  <w:style w:type="character" w:styleId="ListLabel623">
    <w:name w:val="ListLabel 623"/>
    <w:qFormat/>
    <w:rPr>
      <w:rFonts w:cs="OpenSymbol"/>
    </w:rPr>
  </w:style>
  <w:style w:type="character" w:styleId="ListLabel624">
    <w:name w:val="ListLabel 624"/>
    <w:qFormat/>
    <w:rPr>
      <w:rFonts w:cs="OpenSymbol"/>
    </w:rPr>
  </w:style>
  <w:style w:type="character" w:styleId="ListLabel625">
    <w:name w:val="ListLabel 625"/>
    <w:qFormat/>
    <w:rPr>
      <w:rFonts w:cs="OpenSymbol"/>
    </w:rPr>
  </w:style>
  <w:style w:type="character" w:styleId="ListLabel626">
    <w:name w:val="ListLabel 626"/>
    <w:qFormat/>
    <w:rPr>
      <w:rFonts w:cs="OpenSymbol"/>
    </w:rPr>
  </w:style>
  <w:style w:type="character" w:styleId="ListLabel627">
    <w:name w:val="ListLabel 627"/>
    <w:qFormat/>
    <w:rPr>
      <w:rFonts w:cs="OpenSymbol"/>
    </w:rPr>
  </w:style>
  <w:style w:type="character" w:styleId="ListLabel628">
    <w:name w:val="ListLabel 628"/>
    <w:qFormat/>
    <w:rPr>
      <w:rFonts w:cs="OpenSymbol"/>
    </w:rPr>
  </w:style>
  <w:style w:type="character" w:styleId="ListLabel629">
    <w:name w:val="ListLabel 629"/>
    <w:qFormat/>
    <w:rPr>
      <w:rFonts w:cs="OpenSymbol"/>
    </w:rPr>
  </w:style>
  <w:style w:type="character" w:styleId="ListLabel630">
    <w:name w:val="ListLabel 630"/>
    <w:qFormat/>
    <w:rPr>
      <w:rFonts w:cs="OpenSymbol"/>
    </w:rPr>
  </w:style>
  <w:style w:type="character" w:styleId="ListLabel631">
    <w:name w:val="ListLabel 631"/>
    <w:qFormat/>
    <w:rPr>
      <w:rFonts w:cs="OpenSymbol"/>
      <w:sz w:val="23"/>
    </w:rPr>
  </w:style>
  <w:style w:type="character" w:styleId="ListLabel632">
    <w:name w:val="ListLabel 632"/>
    <w:qFormat/>
    <w:rPr>
      <w:rFonts w:cs="OpenSymbol"/>
    </w:rPr>
  </w:style>
  <w:style w:type="character" w:styleId="ListLabel633">
    <w:name w:val="ListLabel 633"/>
    <w:qFormat/>
    <w:rPr>
      <w:rFonts w:cs="OpenSymbol"/>
    </w:rPr>
  </w:style>
  <w:style w:type="character" w:styleId="ListLabel634">
    <w:name w:val="ListLabel 634"/>
    <w:qFormat/>
    <w:rPr>
      <w:rFonts w:cs="OpenSymbol"/>
    </w:rPr>
  </w:style>
  <w:style w:type="character" w:styleId="ListLabel635">
    <w:name w:val="ListLabel 635"/>
    <w:qFormat/>
    <w:rPr>
      <w:rFonts w:cs="OpenSymbol"/>
    </w:rPr>
  </w:style>
  <w:style w:type="character" w:styleId="ListLabel636">
    <w:name w:val="ListLabel 636"/>
    <w:qFormat/>
    <w:rPr>
      <w:rFonts w:cs="OpenSymbol"/>
    </w:rPr>
  </w:style>
  <w:style w:type="character" w:styleId="ListLabel637">
    <w:name w:val="ListLabel 637"/>
    <w:qFormat/>
    <w:rPr>
      <w:rFonts w:cs="OpenSymbol"/>
    </w:rPr>
  </w:style>
  <w:style w:type="character" w:styleId="ListLabel638">
    <w:name w:val="ListLabel 638"/>
    <w:qFormat/>
    <w:rPr>
      <w:rFonts w:cs="OpenSymbol"/>
    </w:rPr>
  </w:style>
  <w:style w:type="character" w:styleId="ListLabel639">
    <w:name w:val="ListLabel 639"/>
    <w:qFormat/>
    <w:rPr>
      <w:rFonts w:cs="OpenSymbol"/>
    </w:rPr>
  </w:style>
  <w:style w:type="character" w:styleId="ListLabel640">
    <w:name w:val="ListLabel 640"/>
    <w:qFormat/>
    <w:rPr>
      <w:rFonts w:cs="OpenSymbol"/>
      <w:sz w:val="24"/>
    </w:rPr>
  </w:style>
  <w:style w:type="character" w:styleId="ListLabel641">
    <w:name w:val="ListLabel 641"/>
    <w:qFormat/>
    <w:rPr>
      <w:rFonts w:cs="OpenSymbol"/>
    </w:rPr>
  </w:style>
  <w:style w:type="character" w:styleId="ListLabel642">
    <w:name w:val="ListLabel 642"/>
    <w:qFormat/>
    <w:rPr>
      <w:rFonts w:cs="OpenSymbol"/>
    </w:rPr>
  </w:style>
  <w:style w:type="character" w:styleId="ListLabel643">
    <w:name w:val="ListLabel 643"/>
    <w:qFormat/>
    <w:rPr>
      <w:rFonts w:cs="OpenSymbol"/>
    </w:rPr>
  </w:style>
  <w:style w:type="character" w:styleId="ListLabel644">
    <w:name w:val="ListLabel 644"/>
    <w:qFormat/>
    <w:rPr>
      <w:rFonts w:cs="OpenSymbol"/>
    </w:rPr>
  </w:style>
  <w:style w:type="character" w:styleId="ListLabel645">
    <w:name w:val="ListLabel 645"/>
    <w:qFormat/>
    <w:rPr>
      <w:rFonts w:cs="OpenSymbol"/>
    </w:rPr>
  </w:style>
  <w:style w:type="character" w:styleId="ListLabel646">
    <w:name w:val="ListLabel 646"/>
    <w:qFormat/>
    <w:rPr>
      <w:rFonts w:cs="OpenSymbol"/>
    </w:rPr>
  </w:style>
  <w:style w:type="character" w:styleId="ListLabel647">
    <w:name w:val="ListLabel 647"/>
    <w:qFormat/>
    <w:rPr>
      <w:rFonts w:cs="OpenSymbol"/>
    </w:rPr>
  </w:style>
  <w:style w:type="character" w:styleId="ListLabel648">
    <w:name w:val="ListLabel 648"/>
    <w:qFormat/>
    <w:rPr>
      <w:rFonts w:cs="OpenSymbol"/>
    </w:rPr>
  </w:style>
  <w:style w:type="character" w:styleId="ListLabel649">
    <w:name w:val="ListLabel 649"/>
    <w:qFormat/>
    <w:rPr>
      <w:rFonts w:cs="OpenSymbol"/>
      <w:b w:val="false"/>
      <w:sz w:val="23"/>
    </w:rPr>
  </w:style>
  <w:style w:type="character" w:styleId="ListLabel650">
    <w:name w:val="ListLabel 650"/>
    <w:qFormat/>
    <w:rPr>
      <w:rFonts w:cs="OpenSymbol"/>
    </w:rPr>
  </w:style>
  <w:style w:type="character" w:styleId="ListLabel651">
    <w:name w:val="ListLabel 651"/>
    <w:qFormat/>
    <w:rPr>
      <w:rFonts w:cs="OpenSymbol"/>
    </w:rPr>
  </w:style>
  <w:style w:type="character" w:styleId="ListLabel652">
    <w:name w:val="ListLabel 652"/>
    <w:qFormat/>
    <w:rPr>
      <w:rFonts w:cs="OpenSymbol"/>
    </w:rPr>
  </w:style>
  <w:style w:type="character" w:styleId="ListLabel653">
    <w:name w:val="ListLabel 653"/>
    <w:qFormat/>
    <w:rPr>
      <w:rFonts w:cs="OpenSymbol"/>
    </w:rPr>
  </w:style>
  <w:style w:type="character" w:styleId="ListLabel654">
    <w:name w:val="ListLabel 654"/>
    <w:qFormat/>
    <w:rPr>
      <w:rFonts w:cs="OpenSymbol"/>
    </w:rPr>
  </w:style>
  <w:style w:type="character" w:styleId="ListLabel655">
    <w:name w:val="ListLabel 655"/>
    <w:qFormat/>
    <w:rPr>
      <w:rFonts w:cs="OpenSymbol"/>
    </w:rPr>
  </w:style>
  <w:style w:type="character" w:styleId="ListLabel656">
    <w:name w:val="ListLabel 656"/>
    <w:qFormat/>
    <w:rPr>
      <w:rFonts w:cs="OpenSymbol"/>
    </w:rPr>
  </w:style>
  <w:style w:type="character" w:styleId="ListLabel657">
    <w:name w:val="ListLabel 657"/>
    <w:qFormat/>
    <w:rPr>
      <w:rFonts w:cs="OpenSymbol"/>
    </w:rPr>
  </w:style>
  <w:style w:type="character" w:styleId="ListLabel658">
    <w:name w:val="ListLabel 658"/>
    <w:qFormat/>
    <w:rPr>
      <w:rFonts w:cs="OpenSymbol"/>
      <w:sz w:val="23"/>
    </w:rPr>
  </w:style>
  <w:style w:type="character" w:styleId="ListLabel659">
    <w:name w:val="ListLabel 659"/>
    <w:qFormat/>
    <w:rPr>
      <w:rFonts w:cs="OpenSymbol"/>
    </w:rPr>
  </w:style>
  <w:style w:type="character" w:styleId="ListLabel660">
    <w:name w:val="ListLabel 660"/>
    <w:qFormat/>
    <w:rPr>
      <w:rFonts w:cs="OpenSymbol"/>
    </w:rPr>
  </w:style>
  <w:style w:type="character" w:styleId="ListLabel661">
    <w:name w:val="ListLabel 661"/>
    <w:qFormat/>
    <w:rPr>
      <w:rFonts w:cs="OpenSymbol"/>
    </w:rPr>
  </w:style>
  <w:style w:type="character" w:styleId="ListLabel662">
    <w:name w:val="ListLabel 662"/>
    <w:qFormat/>
    <w:rPr>
      <w:rFonts w:cs="OpenSymbol"/>
    </w:rPr>
  </w:style>
  <w:style w:type="character" w:styleId="ListLabel663">
    <w:name w:val="ListLabel 663"/>
    <w:qFormat/>
    <w:rPr>
      <w:rFonts w:cs="OpenSymbol"/>
    </w:rPr>
  </w:style>
  <w:style w:type="character" w:styleId="ListLabel664">
    <w:name w:val="ListLabel 664"/>
    <w:qFormat/>
    <w:rPr>
      <w:rFonts w:cs="OpenSymbol"/>
    </w:rPr>
  </w:style>
  <w:style w:type="character" w:styleId="ListLabel665">
    <w:name w:val="ListLabel 665"/>
    <w:qFormat/>
    <w:rPr>
      <w:rFonts w:cs="OpenSymbol"/>
    </w:rPr>
  </w:style>
  <w:style w:type="character" w:styleId="ListLabel666">
    <w:name w:val="ListLabel 666"/>
    <w:qFormat/>
    <w:rPr>
      <w:rFonts w:cs="OpenSymbol"/>
    </w:rPr>
  </w:style>
  <w:style w:type="character" w:styleId="ListLabel667">
    <w:name w:val="ListLabel 667"/>
    <w:qFormat/>
    <w:rPr>
      <w:rFonts w:cs="OpenSymbol"/>
      <w:sz w:val="24"/>
    </w:rPr>
  </w:style>
  <w:style w:type="character" w:styleId="ListLabel668">
    <w:name w:val="ListLabel 668"/>
    <w:qFormat/>
    <w:rPr>
      <w:rFonts w:cs="OpenSymbol"/>
    </w:rPr>
  </w:style>
  <w:style w:type="character" w:styleId="ListLabel669">
    <w:name w:val="ListLabel 669"/>
    <w:qFormat/>
    <w:rPr>
      <w:rFonts w:cs="OpenSymbol"/>
    </w:rPr>
  </w:style>
  <w:style w:type="character" w:styleId="ListLabel670">
    <w:name w:val="ListLabel 670"/>
    <w:qFormat/>
    <w:rPr>
      <w:rFonts w:cs="OpenSymbol"/>
    </w:rPr>
  </w:style>
  <w:style w:type="character" w:styleId="ListLabel671">
    <w:name w:val="ListLabel 671"/>
    <w:qFormat/>
    <w:rPr>
      <w:rFonts w:cs="OpenSymbol"/>
    </w:rPr>
  </w:style>
  <w:style w:type="character" w:styleId="ListLabel672">
    <w:name w:val="ListLabel 672"/>
    <w:qFormat/>
    <w:rPr>
      <w:rFonts w:cs="OpenSymbol"/>
    </w:rPr>
  </w:style>
  <w:style w:type="character" w:styleId="ListLabel673">
    <w:name w:val="ListLabel 673"/>
    <w:qFormat/>
    <w:rPr>
      <w:rFonts w:cs="OpenSymbol"/>
    </w:rPr>
  </w:style>
  <w:style w:type="character" w:styleId="ListLabel674">
    <w:name w:val="ListLabel 674"/>
    <w:qFormat/>
    <w:rPr>
      <w:rFonts w:cs="OpenSymbol"/>
    </w:rPr>
  </w:style>
  <w:style w:type="character" w:styleId="ListLabel675">
    <w:name w:val="ListLabel 675"/>
    <w:qFormat/>
    <w:rPr>
      <w:rFonts w:cs="OpenSymbol"/>
    </w:rPr>
  </w:style>
  <w:style w:type="character" w:styleId="ListLabel676">
    <w:name w:val="ListLabel 676"/>
    <w:qFormat/>
    <w:rPr>
      <w:rFonts w:cs="OpenSymbol"/>
      <w:b w:val="false"/>
      <w:sz w:val="24"/>
    </w:rPr>
  </w:style>
  <w:style w:type="character" w:styleId="ListLabel677">
    <w:name w:val="ListLabel 677"/>
    <w:qFormat/>
    <w:rPr>
      <w:rFonts w:cs="OpenSymbol"/>
    </w:rPr>
  </w:style>
  <w:style w:type="character" w:styleId="ListLabel678">
    <w:name w:val="ListLabel 678"/>
    <w:qFormat/>
    <w:rPr>
      <w:rFonts w:cs="OpenSymbol"/>
    </w:rPr>
  </w:style>
  <w:style w:type="character" w:styleId="ListLabel679">
    <w:name w:val="ListLabel 679"/>
    <w:qFormat/>
    <w:rPr>
      <w:rFonts w:cs="OpenSymbol"/>
    </w:rPr>
  </w:style>
  <w:style w:type="character" w:styleId="ListLabel680">
    <w:name w:val="ListLabel 680"/>
    <w:qFormat/>
    <w:rPr>
      <w:rFonts w:cs="OpenSymbol"/>
    </w:rPr>
  </w:style>
  <w:style w:type="character" w:styleId="ListLabel681">
    <w:name w:val="ListLabel 681"/>
    <w:qFormat/>
    <w:rPr>
      <w:rFonts w:cs="OpenSymbol"/>
    </w:rPr>
  </w:style>
  <w:style w:type="character" w:styleId="ListLabel682">
    <w:name w:val="ListLabel 682"/>
    <w:qFormat/>
    <w:rPr>
      <w:rFonts w:cs="OpenSymbol"/>
    </w:rPr>
  </w:style>
  <w:style w:type="character" w:styleId="ListLabel683">
    <w:name w:val="ListLabel 683"/>
    <w:qFormat/>
    <w:rPr>
      <w:rFonts w:cs="OpenSymbol"/>
    </w:rPr>
  </w:style>
  <w:style w:type="character" w:styleId="ListLabel684">
    <w:name w:val="ListLabel 684"/>
    <w:qFormat/>
    <w:rPr>
      <w:rFonts w:cs="OpenSymbol"/>
    </w:rPr>
  </w:style>
  <w:style w:type="character" w:styleId="ListLabel685">
    <w:name w:val="ListLabel 685"/>
    <w:qFormat/>
    <w:rPr>
      <w:rFonts w:cs="OpenSymbol"/>
      <w:sz w:val="24"/>
    </w:rPr>
  </w:style>
  <w:style w:type="character" w:styleId="ListLabel686">
    <w:name w:val="ListLabel 686"/>
    <w:qFormat/>
    <w:rPr>
      <w:rFonts w:cs="OpenSymbol"/>
    </w:rPr>
  </w:style>
  <w:style w:type="character" w:styleId="ListLabel687">
    <w:name w:val="ListLabel 687"/>
    <w:qFormat/>
    <w:rPr>
      <w:rFonts w:cs="OpenSymbol"/>
    </w:rPr>
  </w:style>
  <w:style w:type="character" w:styleId="ListLabel688">
    <w:name w:val="ListLabel 688"/>
    <w:qFormat/>
    <w:rPr>
      <w:rFonts w:cs="OpenSymbol"/>
    </w:rPr>
  </w:style>
  <w:style w:type="character" w:styleId="ListLabel689">
    <w:name w:val="ListLabel 689"/>
    <w:qFormat/>
    <w:rPr>
      <w:rFonts w:cs="OpenSymbol"/>
    </w:rPr>
  </w:style>
  <w:style w:type="character" w:styleId="ListLabel690">
    <w:name w:val="ListLabel 690"/>
    <w:qFormat/>
    <w:rPr>
      <w:rFonts w:cs="OpenSymbol"/>
    </w:rPr>
  </w:style>
  <w:style w:type="character" w:styleId="ListLabel691">
    <w:name w:val="ListLabel 691"/>
    <w:qFormat/>
    <w:rPr>
      <w:rFonts w:cs="OpenSymbol"/>
    </w:rPr>
  </w:style>
  <w:style w:type="character" w:styleId="ListLabel692">
    <w:name w:val="ListLabel 692"/>
    <w:qFormat/>
    <w:rPr>
      <w:rFonts w:cs="OpenSymbol"/>
    </w:rPr>
  </w:style>
  <w:style w:type="character" w:styleId="ListLabel693">
    <w:name w:val="ListLabel 693"/>
    <w:qFormat/>
    <w:rPr>
      <w:rFonts w:cs="OpenSymbol"/>
    </w:rPr>
  </w:style>
  <w:style w:type="character" w:styleId="ListLabel694">
    <w:name w:val="ListLabel 694"/>
    <w:qFormat/>
    <w:rPr>
      <w:rFonts w:cs="OpenSymbol"/>
      <w:sz w:val="24"/>
    </w:rPr>
  </w:style>
  <w:style w:type="character" w:styleId="ListLabel695">
    <w:name w:val="ListLabel 695"/>
    <w:qFormat/>
    <w:rPr>
      <w:rFonts w:cs="OpenSymbol"/>
    </w:rPr>
  </w:style>
  <w:style w:type="character" w:styleId="ListLabel696">
    <w:name w:val="ListLabel 696"/>
    <w:qFormat/>
    <w:rPr>
      <w:rFonts w:cs="OpenSymbol"/>
    </w:rPr>
  </w:style>
  <w:style w:type="character" w:styleId="ListLabel697">
    <w:name w:val="ListLabel 697"/>
    <w:qFormat/>
    <w:rPr>
      <w:rFonts w:cs="OpenSymbol"/>
    </w:rPr>
  </w:style>
  <w:style w:type="character" w:styleId="ListLabel698">
    <w:name w:val="ListLabel 698"/>
    <w:qFormat/>
    <w:rPr>
      <w:rFonts w:cs="OpenSymbol"/>
    </w:rPr>
  </w:style>
  <w:style w:type="character" w:styleId="ListLabel699">
    <w:name w:val="ListLabel 699"/>
    <w:qFormat/>
    <w:rPr>
      <w:rFonts w:cs="OpenSymbol"/>
    </w:rPr>
  </w:style>
  <w:style w:type="character" w:styleId="ListLabel700">
    <w:name w:val="ListLabel 700"/>
    <w:qFormat/>
    <w:rPr>
      <w:rFonts w:cs="OpenSymbol"/>
    </w:rPr>
  </w:style>
  <w:style w:type="character" w:styleId="ListLabel701">
    <w:name w:val="ListLabel 701"/>
    <w:qFormat/>
    <w:rPr>
      <w:rFonts w:cs="OpenSymbol"/>
    </w:rPr>
  </w:style>
  <w:style w:type="character" w:styleId="ListLabel702">
    <w:name w:val="ListLabel 702"/>
    <w:qFormat/>
    <w:rPr>
      <w:rFonts w:cs="OpenSymbol"/>
    </w:rPr>
  </w:style>
  <w:style w:type="character" w:styleId="DefaultParagraphFont">
    <w:name w:val="Default Paragraph Font"/>
    <w:qFormat/>
    <w:rPr/>
  </w:style>
  <w:style w:type="character" w:styleId="Bullets">
    <w:name w:val="Bullets"/>
    <w:qFormat/>
    <w:rPr>
      <w:rFonts w:ascii="OpenSymbol" w:hAnsi="OpenSymbol" w:eastAsia="OpenSymbol" w:cs="OpenSymbol"/>
    </w:rPr>
  </w:style>
  <w:style w:type="character" w:styleId="ListLabel703">
    <w:name w:val="ListLabel 703"/>
    <w:qFormat/>
    <w:rPr>
      <w:rFonts w:cs="OpenSymbol"/>
    </w:rPr>
  </w:style>
  <w:style w:type="character" w:styleId="ListLabel704">
    <w:name w:val="ListLabel 704"/>
    <w:qFormat/>
    <w:rPr>
      <w:rFonts w:cs="OpenSymbol"/>
    </w:rPr>
  </w:style>
  <w:style w:type="character" w:styleId="ListLabel705">
    <w:name w:val="ListLabel 705"/>
    <w:qFormat/>
    <w:rPr>
      <w:rFonts w:cs="OpenSymbol"/>
    </w:rPr>
  </w:style>
  <w:style w:type="character" w:styleId="ListLabel706">
    <w:name w:val="ListLabel 706"/>
    <w:qFormat/>
    <w:rPr>
      <w:rFonts w:cs="OpenSymbol"/>
    </w:rPr>
  </w:style>
  <w:style w:type="character" w:styleId="ListLabel707">
    <w:name w:val="ListLabel 707"/>
    <w:qFormat/>
    <w:rPr>
      <w:rFonts w:cs="OpenSymbol"/>
    </w:rPr>
  </w:style>
  <w:style w:type="character" w:styleId="ListLabel708">
    <w:name w:val="ListLabel 708"/>
    <w:qFormat/>
    <w:rPr>
      <w:rFonts w:cs="OpenSymbol"/>
    </w:rPr>
  </w:style>
  <w:style w:type="character" w:styleId="ListLabel709">
    <w:name w:val="ListLabel 709"/>
    <w:qFormat/>
    <w:rPr>
      <w:rFonts w:cs="OpenSymbol"/>
    </w:rPr>
  </w:style>
  <w:style w:type="character" w:styleId="ListLabel710">
    <w:name w:val="ListLabel 710"/>
    <w:qFormat/>
    <w:rPr>
      <w:rFonts w:cs="OpenSymbol"/>
    </w:rPr>
  </w:style>
  <w:style w:type="character" w:styleId="ListLabel711">
    <w:name w:val="ListLabel 711"/>
    <w:qFormat/>
    <w:rPr>
      <w:rFonts w:cs="OpenSymbol"/>
    </w:rPr>
  </w:style>
  <w:style w:type="character" w:styleId="ListLabel712">
    <w:name w:val="ListLabel 712"/>
    <w:qFormat/>
    <w:rPr>
      <w:rFonts w:cs="OpenSymbol"/>
    </w:rPr>
  </w:style>
  <w:style w:type="character" w:styleId="ListLabel713">
    <w:name w:val="ListLabel 713"/>
    <w:qFormat/>
    <w:rPr>
      <w:rFonts w:cs="OpenSymbol"/>
    </w:rPr>
  </w:style>
  <w:style w:type="character" w:styleId="ListLabel714">
    <w:name w:val="ListLabel 714"/>
    <w:qFormat/>
    <w:rPr>
      <w:rFonts w:cs="OpenSymbol"/>
    </w:rPr>
  </w:style>
  <w:style w:type="character" w:styleId="ListLabel715">
    <w:name w:val="ListLabel 715"/>
    <w:qFormat/>
    <w:rPr>
      <w:rFonts w:cs="OpenSymbol"/>
    </w:rPr>
  </w:style>
  <w:style w:type="character" w:styleId="ListLabel716">
    <w:name w:val="ListLabel 716"/>
    <w:qFormat/>
    <w:rPr>
      <w:rFonts w:cs="OpenSymbol"/>
    </w:rPr>
  </w:style>
  <w:style w:type="character" w:styleId="ListLabel717">
    <w:name w:val="ListLabel 717"/>
    <w:qFormat/>
    <w:rPr>
      <w:rFonts w:cs="OpenSymbol"/>
    </w:rPr>
  </w:style>
  <w:style w:type="character" w:styleId="ListLabel718">
    <w:name w:val="ListLabel 718"/>
    <w:qFormat/>
    <w:rPr>
      <w:rFonts w:cs="OpenSymbol"/>
    </w:rPr>
  </w:style>
  <w:style w:type="character" w:styleId="ListLabel719">
    <w:name w:val="ListLabel 719"/>
    <w:qFormat/>
    <w:rPr>
      <w:rFonts w:cs="OpenSymbol"/>
    </w:rPr>
  </w:style>
  <w:style w:type="character" w:styleId="ListLabel720">
    <w:name w:val="ListLabel 720"/>
    <w:qFormat/>
    <w:rPr>
      <w:rFonts w:cs="OpenSymbol"/>
    </w:rPr>
  </w:style>
  <w:style w:type="character" w:styleId="ListLabel721">
    <w:name w:val="ListLabel 721"/>
    <w:qFormat/>
    <w:rPr>
      <w:rFonts w:cs="OpenSymbol"/>
    </w:rPr>
  </w:style>
  <w:style w:type="character" w:styleId="ListLabel722">
    <w:name w:val="ListLabel 722"/>
    <w:qFormat/>
    <w:rPr>
      <w:rFonts w:cs="OpenSymbol"/>
    </w:rPr>
  </w:style>
  <w:style w:type="character" w:styleId="ListLabel723">
    <w:name w:val="ListLabel 723"/>
    <w:qFormat/>
    <w:rPr>
      <w:rFonts w:cs="OpenSymbol"/>
    </w:rPr>
  </w:style>
  <w:style w:type="character" w:styleId="ListLabel724">
    <w:name w:val="ListLabel 724"/>
    <w:qFormat/>
    <w:rPr>
      <w:rFonts w:cs="OpenSymbol"/>
    </w:rPr>
  </w:style>
  <w:style w:type="character" w:styleId="ListLabel725">
    <w:name w:val="ListLabel 725"/>
    <w:qFormat/>
    <w:rPr>
      <w:rFonts w:cs="OpenSymbol"/>
    </w:rPr>
  </w:style>
  <w:style w:type="character" w:styleId="ListLabel726">
    <w:name w:val="ListLabel 726"/>
    <w:qFormat/>
    <w:rPr>
      <w:rFonts w:cs="OpenSymbol"/>
    </w:rPr>
  </w:style>
  <w:style w:type="character" w:styleId="ListLabel727">
    <w:name w:val="ListLabel 727"/>
    <w:qFormat/>
    <w:rPr>
      <w:rFonts w:cs="OpenSymbol"/>
    </w:rPr>
  </w:style>
  <w:style w:type="character" w:styleId="ListLabel728">
    <w:name w:val="ListLabel 728"/>
    <w:qFormat/>
    <w:rPr>
      <w:rFonts w:cs="OpenSymbol"/>
    </w:rPr>
  </w:style>
  <w:style w:type="character" w:styleId="ListLabel729">
    <w:name w:val="ListLabel 729"/>
    <w:qFormat/>
    <w:rPr>
      <w:rFonts w:cs="OpenSymbol"/>
    </w:rPr>
  </w:style>
  <w:style w:type="character" w:styleId="ListLabel730">
    <w:name w:val="ListLabel 730"/>
    <w:qFormat/>
    <w:rPr>
      <w:rFonts w:cs="OpenSymbol"/>
    </w:rPr>
  </w:style>
  <w:style w:type="character" w:styleId="ListLabel731">
    <w:name w:val="ListLabel 731"/>
    <w:qFormat/>
    <w:rPr>
      <w:rFonts w:cs="OpenSymbol"/>
    </w:rPr>
  </w:style>
  <w:style w:type="character" w:styleId="ListLabel732">
    <w:name w:val="ListLabel 732"/>
    <w:qFormat/>
    <w:rPr>
      <w:rFonts w:cs="OpenSymbol"/>
    </w:rPr>
  </w:style>
  <w:style w:type="character" w:styleId="ListLabel733">
    <w:name w:val="ListLabel 733"/>
    <w:qFormat/>
    <w:rPr>
      <w:rFonts w:cs="OpenSymbol"/>
    </w:rPr>
  </w:style>
  <w:style w:type="character" w:styleId="ListLabel734">
    <w:name w:val="ListLabel 734"/>
    <w:qFormat/>
    <w:rPr>
      <w:rFonts w:cs="OpenSymbol"/>
    </w:rPr>
  </w:style>
  <w:style w:type="character" w:styleId="ListLabel735">
    <w:name w:val="ListLabel 735"/>
    <w:qFormat/>
    <w:rPr>
      <w:rFonts w:cs="OpenSymbol"/>
    </w:rPr>
  </w:style>
  <w:style w:type="character" w:styleId="ListLabel736">
    <w:name w:val="ListLabel 736"/>
    <w:qFormat/>
    <w:rPr>
      <w:rFonts w:cs="OpenSymbol"/>
    </w:rPr>
  </w:style>
  <w:style w:type="character" w:styleId="ListLabel737">
    <w:name w:val="ListLabel 737"/>
    <w:qFormat/>
    <w:rPr>
      <w:rFonts w:cs="OpenSymbol"/>
    </w:rPr>
  </w:style>
  <w:style w:type="character" w:styleId="ListLabel738">
    <w:name w:val="ListLabel 738"/>
    <w:qFormat/>
    <w:rPr>
      <w:rFonts w:cs="OpenSymbol"/>
    </w:rPr>
  </w:style>
  <w:style w:type="character" w:styleId="ListLabel739">
    <w:name w:val="ListLabel 739"/>
    <w:qFormat/>
    <w:rPr>
      <w:rFonts w:cs="OpenSymbol"/>
    </w:rPr>
  </w:style>
  <w:style w:type="character" w:styleId="ListLabel740">
    <w:name w:val="ListLabel 740"/>
    <w:qFormat/>
    <w:rPr>
      <w:rFonts w:cs="OpenSymbol"/>
    </w:rPr>
  </w:style>
  <w:style w:type="character" w:styleId="ListLabel741">
    <w:name w:val="ListLabel 741"/>
    <w:qFormat/>
    <w:rPr>
      <w:rFonts w:cs="OpenSymbol"/>
    </w:rPr>
  </w:style>
  <w:style w:type="character" w:styleId="ListLabel742">
    <w:name w:val="ListLabel 742"/>
    <w:qFormat/>
    <w:rPr>
      <w:rFonts w:cs="OpenSymbol"/>
    </w:rPr>
  </w:style>
  <w:style w:type="character" w:styleId="ListLabel743">
    <w:name w:val="ListLabel 743"/>
    <w:qFormat/>
    <w:rPr>
      <w:rFonts w:cs="OpenSymbol"/>
    </w:rPr>
  </w:style>
  <w:style w:type="character" w:styleId="ListLabel744">
    <w:name w:val="ListLabel 744"/>
    <w:qFormat/>
    <w:rPr>
      <w:rFonts w:cs="OpenSymbol"/>
    </w:rPr>
  </w:style>
  <w:style w:type="character" w:styleId="ListLabel745">
    <w:name w:val="ListLabel 745"/>
    <w:qFormat/>
    <w:rPr>
      <w:rFonts w:cs="OpenSymbol"/>
    </w:rPr>
  </w:style>
  <w:style w:type="character" w:styleId="ListLabel746">
    <w:name w:val="ListLabel 746"/>
    <w:qFormat/>
    <w:rPr>
      <w:rFonts w:cs="OpenSymbol"/>
    </w:rPr>
  </w:style>
  <w:style w:type="character" w:styleId="ListLabel747">
    <w:name w:val="ListLabel 747"/>
    <w:qFormat/>
    <w:rPr>
      <w:rFonts w:cs="OpenSymbol"/>
    </w:rPr>
  </w:style>
  <w:style w:type="character" w:styleId="ListLabel748">
    <w:name w:val="ListLabel 748"/>
    <w:qFormat/>
    <w:rPr>
      <w:rFonts w:cs="OpenSymbol"/>
    </w:rPr>
  </w:style>
  <w:style w:type="character" w:styleId="ListLabel749">
    <w:name w:val="ListLabel 749"/>
    <w:qFormat/>
    <w:rPr>
      <w:rFonts w:cs="OpenSymbol"/>
    </w:rPr>
  </w:style>
  <w:style w:type="character" w:styleId="ListLabel750">
    <w:name w:val="ListLabel 750"/>
    <w:qFormat/>
    <w:rPr>
      <w:rFonts w:cs="OpenSymbol"/>
    </w:rPr>
  </w:style>
  <w:style w:type="character" w:styleId="ListLabel751">
    <w:name w:val="ListLabel 751"/>
    <w:qFormat/>
    <w:rPr>
      <w:rFonts w:cs="OpenSymbol"/>
    </w:rPr>
  </w:style>
  <w:style w:type="character" w:styleId="ListLabel752">
    <w:name w:val="ListLabel 752"/>
    <w:qFormat/>
    <w:rPr>
      <w:rFonts w:cs="OpenSymbol"/>
    </w:rPr>
  </w:style>
  <w:style w:type="character" w:styleId="ListLabel753">
    <w:name w:val="ListLabel 753"/>
    <w:qFormat/>
    <w:rPr>
      <w:rFonts w:cs="OpenSymbol"/>
    </w:rPr>
  </w:style>
  <w:style w:type="character" w:styleId="ListLabel754">
    <w:name w:val="ListLabel 754"/>
    <w:qFormat/>
    <w:rPr>
      <w:rFonts w:cs="OpenSymbol"/>
    </w:rPr>
  </w:style>
  <w:style w:type="character" w:styleId="ListLabel755">
    <w:name w:val="ListLabel 755"/>
    <w:qFormat/>
    <w:rPr>
      <w:rFonts w:cs="OpenSymbol"/>
    </w:rPr>
  </w:style>
  <w:style w:type="character" w:styleId="ListLabel756">
    <w:name w:val="ListLabel 756"/>
    <w:qFormat/>
    <w:rPr>
      <w:rFonts w:cs="OpenSymbol"/>
    </w:rPr>
  </w:style>
  <w:style w:type="character" w:styleId="ListLabel757">
    <w:name w:val="ListLabel 757"/>
    <w:qFormat/>
    <w:rPr>
      <w:rFonts w:cs="OpenSymbol"/>
    </w:rPr>
  </w:style>
  <w:style w:type="character" w:styleId="ListLabel758">
    <w:name w:val="ListLabel 758"/>
    <w:qFormat/>
    <w:rPr>
      <w:rFonts w:cs="OpenSymbol"/>
    </w:rPr>
  </w:style>
  <w:style w:type="character" w:styleId="ListLabel759">
    <w:name w:val="ListLabel 759"/>
    <w:qFormat/>
    <w:rPr>
      <w:rFonts w:cs="OpenSymbol"/>
    </w:rPr>
  </w:style>
  <w:style w:type="character" w:styleId="ListLabel760">
    <w:name w:val="ListLabel 760"/>
    <w:qFormat/>
    <w:rPr>
      <w:rFonts w:cs="OpenSymbol"/>
    </w:rPr>
  </w:style>
  <w:style w:type="character" w:styleId="ListLabel761">
    <w:name w:val="ListLabel 761"/>
    <w:qFormat/>
    <w:rPr>
      <w:rFonts w:cs="OpenSymbol"/>
    </w:rPr>
  </w:style>
  <w:style w:type="character" w:styleId="ListLabel762">
    <w:name w:val="ListLabel 762"/>
    <w:qFormat/>
    <w:rPr>
      <w:rFonts w:cs="OpenSymbol"/>
    </w:rPr>
  </w:style>
  <w:style w:type="character" w:styleId="ListLabel763">
    <w:name w:val="ListLabel 763"/>
    <w:qFormat/>
    <w:rPr>
      <w:rFonts w:cs="OpenSymbol"/>
    </w:rPr>
  </w:style>
  <w:style w:type="character" w:styleId="ListLabel764">
    <w:name w:val="ListLabel 764"/>
    <w:qFormat/>
    <w:rPr>
      <w:rFonts w:cs="OpenSymbol"/>
    </w:rPr>
  </w:style>
  <w:style w:type="character" w:styleId="ListLabel765">
    <w:name w:val="ListLabel 765"/>
    <w:qFormat/>
    <w:rPr>
      <w:rFonts w:cs="OpenSymbol"/>
    </w:rPr>
  </w:style>
  <w:style w:type="character" w:styleId="ListLabel766">
    <w:name w:val="ListLabel 766"/>
    <w:qFormat/>
    <w:rPr>
      <w:rFonts w:cs="OpenSymbol"/>
    </w:rPr>
  </w:style>
  <w:style w:type="character" w:styleId="ListLabel767">
    <w:name w:val="ListLabel 767"/>
    <w:qFormat/>
    <w:rPr>
      <w:rFonts w:cs="OpenSymbol"/>
    </w:rPr>
  </w:style>
  <w:style w:type="character" w:styleId="ListLabel768">
    <w:name w:val="ListLabel 768"/>
    <w:qFormat/>
    <w:rPr>
      <w:rFonts w:cs="OpenSymbol"/>
    </w:rPr>
  </w:style>
  <w:style w:type="character" w:styleId="ListLabel769">
    <w:name w:val="ListLabel 769"/>
    <w:qFormat/>
    <w:rPr>
      <w:rFonts w:cs="OpenSymbol"/>
    </w:rPr>
  </w:style>
  <w:style w:type="character" w:styleId="ListLabel770">
    <w:name w:val="ListLabel 770"/>
    <w:qFormat/>
    <w:rPr>
      <w:rFonts w:cs="OpenSymbol"/>
    </w:rPr>
  </w:style>
  <w:style w:type="character" w:styleId="ListLabel771">
    <w:name w:val="ListLabel 771"/>
    <w:qFormat/>
    <w:rPr>
      <w:rFonts w:cs="OpenSymbol"/>
    </w:rPr>
  </w:style>
  <w:style w:type="character" w:styleId="ListLabel772">
    <w:name w:val="ListLabel 772"/>
    <w:qFormat/>
    <w:rPr>
      <w:rFonts w:cs="OpenSymbol"/>
    </w:rPr>
  </w:style>
  <w:style w:type="character" w:styleId="ListLabel773">
    <w:name w:val="ListLabel 773"/>
    <w:qFormat/>
    <w:rPr>
      <w:rFonts w:cs="OpenSymbol"/>
    </w:rPr>
  </w:style>
  <w:style w:type="character" w:styleId="ListLabel774">
    <w:name w:val="ListLabel 774"/>
    <w:qFormat/>
    <w:rPr>
      <w:rFonts w:cs="OpenSymbol"/>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775">
    <w:name w:val="ListLabel 775"/>
    <w:qFormat/>
    <w:rPr>
      <w:rFonts w:ascii="Calibri" w:hAnsi="Calibri" w:cs="Symbol"/>
    </w:rPr>
  </w:style>
  <w:style w:type="character" w:styleId="ListLabel776">
    <w:name w:val="ListLabel 776"/>
    <w:qFormat/>
    <w:rPr>
      <w:rFonts w:cs="Courier New"/>
    </w:rPr>
  </w:style>
  <w:style w:type="character" w:styleId="ListLabel777">
    <w:name w:val="ListLabel 777"/>
    <w:qFormat/>
    <w:rPr>
      <w:rFonts w:cs="Wingdings"/>
    </w:rPr>
  </w:style>
  <w:style w:type="character" w:styleId="ListLabel778">
    <w:name w:val="ListLabel 778"/>
    <w:qFormat/>
    <w:rPr>
      <w:rFonts w:cs="Symbol"/>
    </w:rPr>
  </w:style>
  <w:style w:type="character" w:styleId="ListLabel779">
    <w:name w:val="ListLabel 779"/>
    <w:qFormat/>
    <w:rPr>
      <w:rFonts w:cs="Courier New"/>
    </w:rPr>
  </w:style>
  <w:style w:type="character" w:styleId="ListLabel780">
    <w:name w:val="ListLabel 780"/>
    <w:qFormat/>
    <w:rPr>
      <w:rFonts w:cs="Wingdings"/>
    </w:rPr>
  </w:style>
  <w:style w:type="character" w:styleId="ListLabel781">
    <w:name w:val="ListLabel 781"/>
    <w:qFormat/>
    <w:rPr>
      <w:rFonts w:cs="Symbol"/>
    </w:rPr>
  </w:style>
  <w:style w:type="character" w:styleId="ListLabel782">
    <w:name w:val="ListLabel 782"/>
    <w:qFormat/>
    <w:rPr>
      <w:rFonts w:cs="Courier New"/>
    </w:rPr>
  </w:style>
  <w:style w:type="character" w:styleId="ListLabel783">
    <w:name w:val="ListLabel 783"/>
    <w:qFormat/>
    <w:rPr>
      <w:rFonts w:cs="Wingdings"/>
    </w:rPr>
  </w:style>
  <w:style w:type="character" w:styleId="ListLabel784">
    <w:name w:val="ListLabel 784"/>
    <w:qFormat/>
    <w:rPr>
      <w:rFonts w:ascii="Calibri" w:hAnsi="Calibri" w:cs="Symbol"/>
      <w:sz w:val="24"/>
    </w:rPr>
  </w:style>
  <w:style w:type="character" w:styleId="ListLabel785">
    <w:name w:val="ListLabel 785"/>
    <w:qFormat/>
    <w:rPr>
      <w:rFonts w:cs="Courier New"/>
    </w:rPr>
  </w:style>
  <w:style w:type="character" w:styleId="ListLabel786">
    <w:name w:val="ListLabel 786"/>
    <w:qFormat/>
    <w:rPr>
      <w:rFonts w:cs="Wingdings"/>
    </w:rPr>
  </w:style>
  <w:style w:type="character" w:styleId="ListLabel787">
    <w:name w:val="ListLabel 787"/>
    <w:qFormat/>
    <w:rPr>
      <w:rFonts w:cs="Symbol"/>
    </w:rPr>
  </w:style>
  <w:style w:type="character" w:styleId="ListLabel788">
    <w:name w:val="ListLabel 788"/>
    <w:qFormat/>
    <w:rPr>
      <w:rFonts w:cs="Courier New"/>
    </w:rPr>
  </w:style>
  <w:style w:type="character" w:styleId="ListLabel789">
    <w:name w:val="ListLabel 789"/>
    <w:qFormat/>
    <w:rPr>
      <w:rFonts w:cs="Wingdings"/>
    </w:rPr>
  </w:style>
  <w:style w:type="character" w:styleId="ListLabel790">
    <w:name w:val="ListLabel 790"/>
    <w:qFormat/>
    <w:rPr>
      <w:rFonts w:cs="Symbol"/>
    </w:rPr>
  </w:style>
  <w:style w:type="character" w:styleId="ListLabel791">
    <w:name w:val="ListLabel 791"/>
    <w:qFormat/>
    <w:rPr>
      <w:rFonts w:cs="Courier New"/>
    </w:rPr>
  </w:style>
  <w:style w:type="character" w:styleId="ListLabel792">
    <w:name w:val="ListLabel 792"/>
    <w:qFormat/>
    <w:rPr>
      <w:rFonts w:cs="Wingdings"/>
    </w:rPr>
  </w:style>
  <w:style w:type="character" w:styleId="ListLabel793">
    <w:name w:val="ListLabel 793"/>
    <w:qFormat/>
    <w:rPr>
      <w:rFonts w:ascii="Calibri" w:hAnsi="Calibri" w:cs="Symbol"/>
      <w:sz w:val="24"/>
    </w:rPr>
  </w:style>
  <w:style w:type="character" w:styleId="ListLabel794">
    <w:name w:val="ListLabel 794"/>
    <w:qFormat/>
    <w:rPr>
      <w:rFonts w:cs="Courier New"/>
    </w:rPr>
  </w:style>
  <w:style w:type="character" w:styleId="ListLabel795">
    <w:name w:val="ListLabel 795"/>
    <w:qFormat/>
    <w:rPr>
      <w:rFonts w:cs="Wingdings"/>
    </w:rPr>
  </w:style>
  <w:style w:type="character" w:styleId="ListLabel796">
    <w:name w:val="ListLabel 796"/>
    <w:qFormat/>
    <w:rPr>
      <w:rFonts w:cs="Symbol"/>
    </w:rPr>
  </w:style>
  <w:style w:type="character" w:styleId="ListLabel797">
    <w:name w:val="ListLabel 797"/>
    <w:qFormat/>
    <w:rPr>
      <w:rFonts w:cs="Courier New"/>
    </w:rPr>
  </w:style>
  <w:style w:type="character" w:styleId="ListLabel798">
    <w:name w:val="ListLabel 798"/>
    <w:qFormat/>
    <w:rPr>
      <w:rFonts w:cs="Wingdings"/>
    </w:rPr>
  </w:style>
  <w:style w:type="character" w:styleId="ListLabel799">
    <w:name w:val="ListLabel 799"/>
    <w:qFormat/>
    <w:rPr>
      <w:rFonts w:cs="Symbol"/>
    </w:rPr>
  </w:style>
  <w:style w:type="character" w:styleId="ListLabel800">
    <w:name w:val="ListLabel 800"/>
    <w:qFormat/>
    <w:rPr>
      <w:rFonts w:cs="Courier New"/>
    </w:rPr>
  </w:style>
  <w:style w:type="character" w:styleId="ListLabel801">
    <w:name w:val="ListLabel 801"/>
    <w:qFormat/>
    <w:rPr>
      <w:rFonts w:cs="Wingdings"/>
    </w:rPr>
  </w:style>
  <w:style w:type="character" w:styleId="ListLabel802">
    <w:name w:val="ListLabel 802"/>
    <w:qFormat/>
    <w:rPr>
      <w:rFonts w:ascii="Calibri" w:hAnsi="Calibri" w:cs="Symbol"/>
      <w:sz w:val="24"/>
    </w:rPr>
  </w:style>
  <w:style w:type="character" w:styleId="ListLabel803">
    <w:name w:val="ListLabel 803"/>
    <w:qFormat/>
    <w:rPr>
      <w:rFonts w:cs="Courier New"/>
    </w:rPr>
  </w:style>
  <w:style w:type="character" w:styleId="ListLabel804">
    <w:name w:val="ListLabel 804"/>
    <w:qFormat/>
    <w:rPr>
      <w:rFonts w:cs="Wingdings"/>
    </w:rPr>
  </w:style>
  <w:style w:type="character" w:styleId="ListLabel805">
    <w:name w:val="ListLabel 805"/>
    <w:qFormat/>
    <w:rPr>
      <w:rFonts w:cs="Symbol"/>
    </w:rPr>
  </w:style>
  <w:style w:type="character" w:styleId="ListLabel806">
    <w:name w:val="ListLabel 806"/>
    <w:qFormat/>
    <w:rPr>
      <w:rFonts w:cs="Courier New"/>
    </w:rPr>
  </w:style>
  <w:style w:type="character" w:styleId="ListLabel807">
    <w:name w:val="ListLabel 807"/>
    <w:qFormat/>
    <w:rPr>
      <w:rFonts w:cs="Wingdings"/>
    </w:rPr>
  </w:style>
  <w:style w:type="character" w:styleId="ListLabel808">
    <w:name w:val="ListLabel 808"/>
    <w:qFormat/>
    <w:rPr>
      <w:rFonts w:cs="Symbol"/>
    </w:rPr>
  </w:style>
  <w:style w:type="character" w:styleId="ListLabel809">
    <w:name w:val="ListLabel 809"/>
    <w:qFormat/>
    <w:rPr>
      <w:rFonts w:cs="Courier New"/>
    </w:rPr>
  </w:style>
  <w:style w:type="character" w:styleId="ListLabel810">
    <w:name w:val="ListLabel 810"/>
    <w:qFormat/>
    <w:rPr>
      <w:rFonts w:cs="Wingding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Noto Sans CJK SC Regular" w:cs="Noto Sans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Footnote">
    <w:name w:val="Footnote Text"/>
    <w:basedOn w:val="Normal"/>
    <w:qFormat/>
    <w:pPr/>
    <w:rPr>
      <w:sz w:val="22"/>
      <w:szCs w:val="20"/>
    </w:rPr>
  </w:style>
  <w:style w:type="paragraph" w:styleId="Footer">
    <w:name w:val="Footer"/>
    <w:basedOn w:val="Normal"/>
    <w:pPr/>
    <w:rPr/>
  </w:style>
  <w:style w:type="paragraph" w:styleId="ListParagraph">
    <w:name w:val="List Paragraph"/>
    <w:basedOn w:val="Normal"/>
    <w:qFormat/>
    <w:pPr>
      <w:spacing w:before="0" w:after="200"/>
      <w:ind w:left="72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91</TotalTime>
  <Application>LibreOffice/6.1.5.2$Linux_X86_64 LibreOffice_project/10$Build-2</Application>
  <Pages>3</Pages>
  <Words>522</Words>
  <Characters>2993</Characters>
  <CharactersWithSpaces>3488</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2019-12-01T20:00:30Z</dcterms:created>
  <dc:creator/>
  <dc:description/>
  <dc:language>en-US</dc:language>
  <cp:lastModifiedBy/>
  <dcterms:modified xsi:type="dcterms:W3CDTF">2021-04-29T08:21:03Z</dcterms:modified>
  <cp:revision>65</cp:revision>
  <dc:subject/>
  <dc:title/>
</cp:coreProperties>
</file>