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[20]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 xml:space="preserve">PHY 112 </w:t>
      </w:r>
      <w:r>
        <w:rPr>
          <w:rFonts w:ascii="Calibri" w:hAnsi="Calibri"/>
          <w:b/>
          <w:bCs/>
          <w:i/>
          <w:iCs/>
          <w:sz w:val="32"/>
          <w:szCs w:val="32"/>
        </w:rPr>
        <w:t>Technical Physics 1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Course Revision Proposal (AEG)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Physics and Natural Sciences faculty at all three campuses have proposed a revision to PHY 112 </w:t>
      </w:r>
      <w:r>
        <w:rPr>
          <w:rFonts w:ascii="Calibri" w:hAnsi="Calibri"/>
          <w:i/>
          <w:iCs/>
          <w:sz w:val="24"/>
          <w:szCs w:val="24"/>
        </w:rPr>
        <w:t>Technical Physics 1</w:t>
      </w:r>
      <w:r>
        <w:rPr>
          <w:rFonts w:ascii="Calibri" w:hAnsi="Calibri"/>
          <w:sz w:val="24"/>
          <w:szCs w:val="24"/>
        </w:rPr>
        <w:t xml:space="preserve">, and 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intention of the revision is to</w:t>
      </w:r>
    </w:p>
    <w:p>
      <w:pPr>
        <w:pStyle w:val="Normal"/>
        <w:widowControl/>
        <w:numPr>
          <w:ilvl w:val="0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 xml:space="preserve">revise the catalog description and learning objectives to re-align with the current content of the course and the objectives of the programs it serves; namely: </w:t>
      </w:r>
    </w:p>
    <w:p>
      <w:pPr>
        <w:pStyle w:val="Normal"/>
        <w:widowControl/>
        <w:numPr>
          <w:ilvl w:val="1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 xml:space="preserve">Construction Technology / Architectural Technology (A. A. S. degree), </w:t>
      </w:r>
    </w:p>
    <w:p>
      <w:pPr>
        <w:pStyle w:val="Normal"/>
        <w:widowControl/>
        <w:numPr>
          <w:ilvl w:val="1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>Heating, Ventilation, Air Conditioning and Refrigeration Technology (A. A. S. degree),</w:t>
      </w:r>
    </w:p>
    <w:p>
      <w:pPr>
        <w:pStyle w:val="Normal"/>
        <w:widowControl/>
        <w:numPr>
          <w:ilvl w:val="1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>Manufacturing Technology (A. A. S. degree),</w:t>
      </w:r>
    </w:p>
    <w:p>
      <w:pPr>
        <w:pStyle w:val="Normal"/>
        <w:widowControl/>
        <w:numPr>
          <w:ilvl w:val="0"/>
          <w:numId w:val="1"/>
        </w:numPr>
        <w:overflowPunct w:val="false"/>
        <w:bidi w:val="0"/>
        <w:jc w:val="both"/>
        <w:rPr/>
      </w:pPr>
      <w:r>
        <w:rPr>
          <w:rFonts w:ascii="Calibri" w:hAnsi="Calibri"/>
          <w:sz w:val="24"/>
          <w:szCs w:val="24"/>
        </w:rPr>
        <w:t xml:space="preserve">create an updated syllabus and course outline form that aligns with current practices in the discipline and in these fields, and will be more effective for instructors; and 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PHY 112 </w:t>
      </w:r>
      <w:r>
        <w:rPr>
          <w:rFonts w:ascii="Calibri" w:hAnsi="Calibri"/>
          <w:i/>
          <w:iCs/>
          <w:sz w:val="24"/>
          <w:szCs w:val="24"/>
        </w:rPr>
        <w:t xml:space="preserve">Technical Physics 1 </w:t>
      </w:r>
      <w:r>
        <w:rPr>
          <w:rFonts w:ascii="Calibri" w:hAnsi="Calibri"/>
          <w:sz w:val="24"/>
          <w:szCs w:val="24"/>
        </w:rPr>
        <w:t xml:space="preserve">Course Revision Proposal has received the necessary multi-campus approvals; and 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College Curriculum Committee approved the PHY 112 </w:t>
      </w:r>
      <w:r>
        <w:rPr>
          <w:rFonts w:ascii="Calibri" w:hAnsi="Calibri"/>
          <w:i/>
          <w:iCs/>
          <w:sz w:val="24"/>
          <w:szCs w:val="24"/>
        </w:rPr>
        <w:t>Technical Physics 1</w:t>
      </w:r>
      <w:r>
        <w:rPr>
          <w:rFonts w:ascii="Calibri" w:hAnsi="Calibri"/>
          <w:sz w:val="24"/>
          <w:szCs w:val="24"/>
        </w:rPr>
        <w:t xml:space="preserve"> Course Revision Proposal on 04/22/2021 by a vote of [10-0-0]; therefore be it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the PHY 112 </w:t>
      </w:r>
      <w:r>
        <w:rPr>
          <w:rFonts w:ascii="Calibri" w:hAnsi="Calibri"/>
          <w:b w:val="false"/>
          <w:bCs w:val="false"/>
          <w:i/>
          <w:iCs/>
          <w:sz w:val="24"/>
          <w:szCs w:val="24"/>
        </w:rPr>
        <w:t>Technical Physics 1</w:t>
      </w:r>
      <w:r>
        <w:rPr>
          <w:rFonts w:ascii="Calibri" w:hAnsi="Calibri"/>
          <w:sz w:val="24"/>
          <w:szCs w:val="24"/>
        </w:rPr>
        <w:t xml:space="preserve"> Course Revision Proposal.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  <w:t>P</w:t>
      </w:r>
      <w:r>
        <w:rPr>
          <w:rFonts w:ascii="Calibri" w:hAnsi="Calibri"/>
          <w:sz w:val="24"/>
          <w:szCs w:val="24"/>
        </w:rPr>
        <w:t xml:space="preserve">assed [45-0-2] </w:t>
      </w:r>
      <w:r>
        <w:rPr>
          <w:rFonts w:ascii="Calibri" w:hAnsi="Calibri"/>
          <w:sz w:val="24"/>
          <w:szCs w:val="24"/>
        </w:rPr>
        <w:t xml:space="preserve"> at April 27,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Emphasis">
    <w:name w:val="Emphasis"/>
    <w:qFormat/>
    <w:rPr>
      <w:i/>
      <w:iCs/>
    </w:rPr>
  </w:style>
  <w:style w:type="character" w:styleId="ListLabel811">
    <w:name w:val="ListLabel 811"/>
    <w:qFormat/>
    <w:rPr>
      <w:rFonts w:cs="OpenSymbol"/>
    </w:rPr>
  </w:style>
  <w:style w:type="character" w:styleId="ListLabel812">
    <w:name w:val="ListLabel 812"/>
    <w:qFormat/>
    <w:rPr>
      <w:rFonts w:cs="OpenSymbol"/>
    </w:rPr>
  </w:style>
  <w:style w:type="character" w:styleId="ListLabel813">
    <w:name w:val="ListLabel 813"/>
    <w:qFormat/>
    <w:rPr>
      <w:rFonts w:cs="OpenSymbol"/>
    </w:rPr>
  </w:style>
  <w:style w:type="character" w:styleId="ListLabel814">
    <w:name w:val="ListLabel 814"/>
    <w:qFormat/>
    <w:rPr>
      <w:rFonts w:cs="OpenSymbol"/>
    </w:rPr>
  </w:style>
  <w:style w:type="character" w:styleId="ListLabel815">
    <w:name w:val="ListLabel 815"/>
    <w:qFormat/>
    <w:rPr>
      <w:rFonts w:cs="OpenSymbol"/>
    </w:rPr>
  </w:style>
  <w:style w:type="character" w:styleId="ListLabel816">
    <w:name w:val="ListLabel 816"/>
    <w:qFormat/>
    <w:rPr>
      <w:rFonts w:cs="OpenSymbol"/>
    </w:rPr>
  </w:style>
  <w:style w:type="character" w:styleId="ListLabel817">
    <w:name w:val="ListLabel 817"/>
    <w:qFormat/>
    <w:rPr>
      <w:rFonts w:cs="OpenSymbol"/>
    </w:rPr>
  </w:style>
  <w:style w:type="character" w:styleId="ListLabel818">
    <w:name w:val="ListLabel 818"/>
    <w:qFormat/>
    <w:rPr>
      <w:rFonts w:cs="OpenSymbol"/>
    </w:rPr>
  </w:style>
  <w:style w:type="character" w:styleId="ListLabel819">
    <w:name w:val="ListLabel 819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</TotalTime>
  <Application>LibreOffice/6.1.5.2$Linux_X86_64 LibreOffice_project/10$Build-2</Application>
  <Pages>1</Pages>
  <Words>205</Words>
  <Characters>1128</Characters>
  <CharactersWithSpaces>1318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2021-04-29T08:20:19Z</dcterms:modified>
  <cp:revision>61</cp:revision>
  <dc:subject/>
  <dc:title/>
</cp:coreProperties>
</file>