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[12]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HUS 101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Introduction to Social Welfare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Humanities faculty at all three campuses have proposed a revision of HUS 101 </w:t>
      </w:r>
      <w:r>
        <w:rPr>
          <w:rFonts w:ascii="Calibri" w:hAnsi="Calibri"/>
          <w:i/>
          <w:iCs/>
          <w:sz w:val="24"/>
          <w:szCs w:val="24"/>
        </w:rPr>
        <w:t>Introduction to Social Welfare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reduce the number of mandatory volunteer hours from 25 to 10 per semester, bringing this course into alignment with standard practice in this field,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by so doing, make this course more accessible to students interested in careers in these areas,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satisfy the intent of giving students in Human Services volunteer experience,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maintain the integrity of the course and the Human Services program;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HUS 101 </w:t>
      </w:r>
      <w:r>
        <w:rPr>
          <w:rFonts w:ascii="Calibri" w:hAnsi="Calibri"/>
          <w:i/>
          <w:iCs/>
          <w:sz w:val="24"/>
          <w:szCs w:val="24"/>
        </w:rPr>
        <w:t>Introduction to Social Welfare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HUS 101 </w:t>
      </w:r>
      <w:r>
        <w:rPr>
          <w:rFonts w:ascii="Calibri" w:hAnsi="Calibri"/>
          <w:i/>
          <w:iCs/>
          <w:sz w:val="24"/>
          <w:szCs w:val="24"/>
        </w:rPr>
        <w:t xml:space="preserve">Introduction to Social Welfare </w:t>
      </w:r>
      <w:r>
        <w:rPr>
          <w:rFonts w:ascii="Calibri" w:hAnsi="Calibri"/>
          <w:sz w:val="24"/>
          <w:szCs w:val="24"/>
        </w:rPr>
        <w:t>Course Revision Proposal on March 25, 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HUS 101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Introduction to Social Welfare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cs="" w:ascii="Calibri" w:hAnsi="Calibri" w:cstheme="minorHAnsi"/>
          <w:b w:val="false"/>
          <w:bCs w:val="false"/>
          <w:sz w:val="24"/>
          <w:szCs w:val="24"/>
        </w:rPr>
        <w:tab/>
        <w:t>Passed [51-1-2]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ascii="Calibri" w:hAnsi="Calibri" w:cs="OpenSymbol"/>
      <w:sz w:val="24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ascii="Calibri" w:hAnsi="Calibri" w:cs="OpenSymbol"/>
      <w:sz w:val="24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LibreOffice/6.1.5.2$Linux_X86_64 LibreOffice_project/10$Build-2</Application>
  <Pages>1</Pages>
  <Words>191</Words>
  <Characters>1038</Characters>
  <CharactersWithSpaces>1217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2021-03-31T13:26:33Z</dcterms:modified>
  <cp:revision>58</cp:revision>
  <dc:subject/>
  <dc:title/>
</cp:coreProperties>
</file>