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02"/>
        <w:ind w:left="-115"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rFonts w:ascii="Calibri" w:hAnsi="Calibri"/>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rFonts w:ascii="Calibri" w:hAnsi="Calibri"/>
        </w:rPr>
      </w:pPr>
      <w:r>
        <w:rPr>
          <w:rFonts w:ascii="Calibri" w:hAnsi="Calibri"/>
          <w:sz w:val="26"/>
          <w:szCs w:val="26"/>
        </w:rPr>
        <w:t>County Community College</w:t>
        <w:br/>
        <w:t xml:space="preserve">Michael J. Grant Campus </w:t>
      </w:r>
    </w:p>
    <w:p>
      <w:pPr>
        <w:pStyle w:val="Normal"/>
        <w:jc w:val="center"/>
        <w:rPr>
          <w:rFonts w:ascii="Calibri" w:hAnsi="Calibri"/>
        </w:rPr>
      </w:pPr>
      <w:r>
        <w:rPr>
          <w:rFonts w:ascii="Calibri" w:hAnsi="Calibri"/>
          <w:sz w:val="48"/>
          <w:szCs w:val="48"/>
        </w:rPr>
        <w:t>Academic Assembly</w:t>
      </w:r>
    </w:p>
    <w:p>
      <w:pPr>
        <w:pStyle w:val="Normal"/>
        <w:jc w:val="center"/>
        <w:rPr/>
      </w:pPr>
      <w:r>
        <w:rPr>
          <w:rFonts w:ascii="Calibri" w:hAnsi="Calibri"/>
          <w:b/>
          <w:bCs/>
          <w:sz w:val="24"/>
          <w:szCs w:val="24"/>
        </w:rPr>
        <w:t>Resolution 2020-09 [03]</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Approving the</w:t>
      </w:r>
    </w:p>
    <w:p>
      <w:pPr>
        <w:pStyle w:val="Normal"/>
        <w:jc w:val="center"/>
        <w:rPr/>
      </w:pPr>
      <w:bookmarkStart w:id="0" w:name="__DdeLink__1351_825759244"/>
      <w:r>
        <w:rPr>
          <w:rFonts w:ascii="Calibri" w:hAnsi="Calibri"/>
          <w:b/>
          <w:bCs/>
          <w:i w:val="false"/>
          <w:iCs w:val="false"/>
          <w:sz w:val="32"/>
          <w:szCs w:val="32"/>
        </w:rPr>
        <w:t xml:space="preserve">Amendment to the </w:t>
      </w:r>
      <w:bookmarkEnd w:id="0"/>
      <w:r>
        <w:rPr>
          <w:rFonts w:ascii="Calibri" w:hAnsi="Calibri"/>
          <w:b/>
          <w:bCs/>
          <w:i w:val="false"/>
          <w:iCs w:val="false"/>
          <w:sz w:val="32"/>
          <w:szCs w:val="32"/>
        </w:rPr>
        <w:t>Assembly Constitution and By-laws</w:t>
      </w:r>
    </w:p>
    <w:p>
      <w:pPr>
        <w:pStyle w:val="Normal"/>
        <w:jc w:val="center"/>
        <w:rPr/>
      </w:pPr>
      <w:r>
        <w:rPr>
          <w:rFonts w:ascii="Calibri" w:hAnsi="Calibri"/>
          <w:b/>
          <w:bCs/>
          <w:i w:val="false"/>
          <w:iCs w:val="false"/>
          <w:sz w:val="32"/>
          <w:szCs w:val="32"/>
        </w:rPr>
        <w:t xml:space="preserve">Making Grant Campus Adjunct and Non-tenure Faculty </w:t>
      </w:r>
    </w:p>
    <w:p>
      <w:pPr>
        <w:pStyle w:val="Normal"/>
        <w:jc w:val="center"/>
        <w:rPr/>
      </w:pPr>
      <w:r>
        <w:rPr>
          <w:rFonts w:ascii="Calibri" w:hAnsi="Calibri"/>
          <w:b/>
          <w:bCs/>
          <w:i w:val="false"/>
          <w:iCs w:val="false"/>
          <w:sz w:val="32"/>
          <w:szCs w:val="32"/>
        </w:rPr>
        <w:t>Voting Members of Assembly Committees</w:t>
      </w:r>
    </w:p>
    <w:p>
      <w:pPr>
        <w:pStyle w:val="Normal"/>
        <w:jc w:val="center"/>
        <w:rPr>
          <w:b/>
          <w:b/>
          <w:bCs/>
        </w:rPr>
      </w:pPr>
      <w:r>
        <w:rPr>
          <w:b/>
          <w:bCs/>
        </w:rPr>
      </w:r>
    </w:p>
    <w:p>
      <w:pPr>
        <w:pStyle w:val="Normal"/>
        <w:widowControl/>
        <w:bidi w:val="0"/>
        <w:spacing w:before="0" w:after="120"/>
        <w:ind w:left="0" w:right="0" w:hanging="720"/>
        <w:jc w:val="both"/>
        <w:rPr/>
      </w:pPr>
      <w:r>
        <w:rPr>
          <w:rFonts w:ascii="Calibri" w:hAnsi="Calibri"/>
          <w:b/>
          <w:bCs/>
          <w:sz w:val="24"/>
          <w:szCs w:val="24"/>
        </w:rPr>
        <w:tab/>
        <w:t xml:space="preserve">Whereas </w:t>
      </w:r>
      <w:r>
        <w:rPr>
          <w:rFonts w:ascii="Calibri" w:hAnsi="Calibri"/>
          <w:b w:val="false"/>
          <w:bCs w:val="false"/>
          <w:sz w:val="24"/>
          <w:szCs w:val="24"/>
        </w:rPr>
        <w:t>the Assembly Resolution 2019-09 [07] called for participation of adjunct, non-tenure-track faculty in Faculty Governance; and</w:t>
      </w:r>
    </w:p>
    <w:p>
      <w:pPr>
        <w:pStyle w:val="Normal"/>
        <w:widowControl/>
        <w:bidi w:val="0"/>
        <w:spacing w:before="0" w:after="120"/>
        <w:ind w:left="0" w:right="0" w:hanging="0"/>
        <w:jc w:val="both"/>
        <w:rPr>
          <w:rFonts w:ascii="Calibri" w:hAnsi="Calibri"/>
          <w:sz w:val="24"/>
          <w:szCs w:val="24"/>
        </w:rPr>
      </w:pPr>
      <w:r>
        <w:rPr>
          <w:rFonts w:ascii="Calibri" w:hAnsi="Calibri"/>
          <w:sz w:val="24"/>
          <w:szCs w:val="24"/>
        </w:rPr>
      </w:r>
    </w:p>
    <w:p>
      <w:pPr>
        <w:pStyle w:val="Normal"/>
        <w:widowControl/>
        <w:bidi w:val="0"/>
        <w:spacing w:before="0" w:after="120"/>
        <w:ind w:left="0" w:right="0" w:hanging="0"/>
        <w:jc w:val="both"/>
        <w:rPr/>
      </w:pPr>
      <w:r>
        <w:rPr>
          <w:rFonts w:ascii="Calibri" w:hAnsi="Calibri"/>
          <w:b/>
          <w:bCs/>
          <w:sz w:val="24"/>
          <w:szCs w:val="24"/>
        </w:rPr>
        <w:t>Whereas</w:t>
      </w:r>
      <w:r>
        <w:rPr>
          <w:rFonts w:ascii="Calibri" w:hAnsi="Calibri"/>
          <w:sz w:val="24"/>
          <w:szCs w:val="24"/>
        </w:rPr>
        <w:t xml:space="preserve"> the Adjunct Task Force was formed by the Executive Committee to investigate practicable models for the participation of adjunct faculty in the Academic Assembly and its committees; and</w:t>
      </w:r>
    </w:p>
    <w:p>
      <w:pPr>
        <w:pStyle w:val="Normal"/>
        <w:widowControl/>
        <w:bidi w:val="0"/>
        <w:spacing w:before="0" w:after="120"/>
        <w:ind w:left="0" w:right="0" w:hanging="0"/>
        <w:jc w:val="both"/>
        <w:rPr>
          <w:rFonts w:ascii="Calibri" w:hAnsi="Calibri"/>
          <w:sz w:val="24"/>
          <w:szCs w:val="24"/>
        </w:rPr>
      </w:pPr>
      <w:r>
        <w:rPr>
          <w:rFonts w:ascii="Calibri" w:hAnsi="Calibri"/>
          <w:sz w:val="24"/>
          <w:szCs w:val="24"/>
        </w:rPr>
      </w:r>
    </w:p>
    <w:p>
      <w:pPr>
        <w:pStyle w:val="Normal"/>
        <w:widowControl/>
        <w:bidi w:val="0"/>
        <w:spacing w:before="0" w:after="120"/>
        <w:ind w:left="0" w:right="0" w:hanging="720"/>
        <w:jc w:val="both"/>
        <w:rPr/>
      </w:pPr>
      <w:r>
        <w:rPr>
          <w:rFonts w:ascii="Calibri" w:hAnsi="Calibri"/>
          <w:b/>
          <w:bCs/>
          <w:sz w:val="24"/>
          <w:szCs w:val="24"/>
        </w:rPr>
        <w:tab/>
        <w:t xml:space="preserve">Whereas </w:t>
      </w:r>
      <w:r>
        <w:rPr>
          <w:rFonts w:ascii="Calibri" w:hAnsi="Calibri"/>
          <w:b w:val="false"/>
          <w:bCs w:val="false"/>
          <w:sz w:val="24"/>
          <w:szCs w:val="24"/>
        </w:rPr>
        <w:t xml:space="preserve">the Adjunct Task Force has recommended that adjunct faculty </w:t>
      </w:r>
      <w:bookmarkStart w:id="1" w:name="__DdeLink__532_475268622"/>
      <w:r>
        <w:rPr>
          <w:rFonts w:ascii="Calibri" w:hAnsi="Calibri"/>
          <w:b w:val="false"/>
          <w:bCs w:val="false"/>
          <w:sz w:val="24"/>
          <w:szCs w:val="24"/>
        </w:rPr>
        <w:t>who teach at least half of their credit load on the Grant Campus over the past three years or in the current semester</w:t>
      </w:r>
      <w:bookmarkEnd w:id="1"/>
      <w:r>
        <w:rPr>
          <w:rFonts w:ascii="Calibri" w:hAnsi="Calibri"/>
          <w:b w:val="false"/>
          <w:bCs w:val="false"/>
          <w:sz w:val="24"/>
          <w:szCs w:val="24"/>
        </w:rPr>
        <w:t xml:space="preserve"> have one voting seat on the Executive Committee and each of the Elected Committees of the Grant Campus Academic Assembly, and be eligible to serve with full voting rights on volunteer and ad hoc committees; therefore be it </w:t>
      </w:r>
    </w:p>
    <w:p>
      <w:pPr>
        <w:pStyle w:val="Normal"/>
        <w:widowControl/>
        <w:bidi w:val="0"/>
        <w:spacing w:before="0" w:after="120"/>
        <w:ind w:left="0" w:right="0" w:hanging="0"/>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widowControl/>
        <w:pBdr>
          <w:bottom w:val="single" w:sz="8" w:space="2" w:color="000001"/>
        </w:pBdr>
        <w:bidi w:val="0"/>
        <w:spacing w:before="0" w:after="120"/>
        <w:ind w:left="0" w:right="0" w:hanging="0"/>
        <w:jc w:val="both"/>
        <w:rPr/>
      </w:pPr>
      <w:r>
        <w:rPr>
          <w:rFonts w:ascii="Calibri" w:hAnsi="Calibri"/>
          <w:b/>
          <w:bCs/>
          <w:sz w:val="24"/>
          <w:szCs w:val="24"/>
        </w:rPr>
        <w:t>Resolved</w:t>
      </w:r>
      <w:r>
        <w:rPr>
          <w:rFonts w:ascii="Calibri" w:hAnsi="Calibri"/>
          <w:sz w:val="24"/>
          <w:szCs w:val="24"/>
        </w:rPr>
        <w:t xml:space="preserve"> that the Grant Campus Academic Assembly approves adding the following two paragraphs as an amendment to the Assembly Constitution, and the inclusion of adjunct faculty members in the membership lists of the Executive Committee and the Elected Committees of the Assembly, one such member per committee, with full voting rights.</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left"/>
        <w:rPr/>
      </w:pPr>
      <w:r>
        <w:rPr>
          <w:rFonts w:ascii="Calibri" w:hAnsi="Calibri"/>
          <w:sz w:val="24"/>
          <w:szCs w:val="24"/>
        </w:rPr>
        <w:tab/>
        <w:t xml:space="preserve">Passed [26-6-11] </w:t>
      </w:r>
      <w:r>
        <w:rPr>
          <w:rFonts w:ascii="Calibri" w:hAnsi="Calibri"/>
          <w:sz w:val="24"/>
          <w:szCs w:val="24"/>
        </w:rPr>
        <w:t>in</w:t>
      </w:r>
      <w:bookmarkStart w:id="2" w:name="__DdeLink__666_1942874924"/>
      <w:r>
        <w:rPr>
          <w:rFonts w:ascii="Calibri" w:hAnsi="Calibri"/>
          <w:sz w:val="24"/>
          <w:szCs w:val="24"/>
        </w:rPr>
        <w:t xml:space="preserve"> an online vote open between September 22 and September 29,</w:t>
      </w:r>
      <w:bookmarkEnd w:id="2"/>
      <w:r>
        <w:rPr>
          <w:rFonts w:ascii="Calibri" w:hAnsi="Calibri"/>
          <w:sz w:val="24"/>
          <w:szCs w:val="24"/>
        </w:rPr>
        <w:t xml:space="preserve"> 2020</w:t>
      </w:r>
    </w:p>
    <w:p>
      <w:pPr>
        <w:pStyle w:val="Heading1"/>
        <w:jc w:val="center"/>
        <w:rPr>
          <w:rFonts w:ascii="sans-serif" w:hAnsi="sans-serif"/>
          <w:sz w:val="30"/>
        </w:rPr>
      </w:pPr>
      <w:r>
        <w:rPr>
          <w:rFonts w:ascii="sans-serif" w:hAnsi="sans-serif"/>
          <w:sz w:val="30"/>
        </w:rPr>
        <w:t>COMMITTEE BY-LAWS</w:t>
      </w:r>
    </w:p>
    <w:p>
      <w:pPr>
        <w:pStyle w:val="Normal"/>
        <w:spacing w:beforeAutospacing="1" w:afterAutospacing="1"/>
        <w:ind w:left="1440" w:hanging="1440"/>
        <w:rPr>
          <w:rFonts w:cs="Arial"/>
          <w:sz w:val="24"/>
          <w:szCs w:val="24"/>
        </w:rPr>
      </w:pPr>
      <w:r>
        <w:rPr>
          <w:rFonts w:cs="Arial"/>
          <w:b/>
          <w:bCs/>
          <w:sz w:val="24"/>
          <w:szCs w:val="24"/>
        </w:rPr>
        <w:t>Section 1</w:t>
        <w:tab/>
        <w:t>General Provisions:</w:t>
      </w:r>
    </w:p>
    <w:p>
      <w:pPr>
        <w:pStyle w:val="Normal"/>
        <w:spacing w:beforeAutospacing="1" w:afterAutospacing="1"/>
        <w:ind w:left="1440" w:hanging="1440"/>
        <w:rPr/>
      </w:pPr>
      <w:r>
        <w:rPr>
          <w:rFonts w:cs="Arial" w:ascii="Calibri" w:hAnsi="Calibri"/>
          <w:strike w:val="false"/>
          <w:dstrike w:val="false"/>
          <w:sz w:val="24"/>
          <w:szCs w:val="24"/>
        </w:rPr>
        <w:tab/>
      </w:r>
      <w:r>
        <w:rPr>
          <w:rFonts w:cs="Arial" w:ascii="Calibri" w:hAnsi="Calibri"/>
          <w:strike w:val="false"/>
          <w:dstrike w:val="false"/>
          <w:sz w:val="24"/>
          <w:szCs w:val="24"/>
          <w:highlight w:val="yellow"/>
        </w:rPr>
        <w:t>o. Adjunct faculty members of the Assembly shall have one voting seat on the Executive Committee of the Assembly and all elected standing committees.</w:t>
        <w:br/>
        <w:br/>
        <w:t>p. Adjunct faculty members of the Assembly are eligible to serve on all volunteer standing committees of the Assembly, ad hoc committees of the Assembly, and all subcommittees thereof, with full voting rights.</w:t>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ans-serif">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p>
    <w:pPr>
      <w:pStyle w:val="Footer"/>
      <w:jc w:val="center"/>
      <w:rPr/>
    </w:pPr>
    <w:r>
      <w:rPr/>
    </w:r>
  </w:p>
  <w:p>
    <w:pPr>
      <w:pStyle w:val="Footer"/>
      <w:jc w:val="center"/>
      <w:rPr/>
    </w:pPr>
    <w:r>
      <w:rPr/>
    </w:r>
  </w:p>
</w:ftr>
</file>

<file path=word/settings.xml><?xml version="1.0" encoding="utf-8"?>
<w:settings xmlns:w="http://schemas.openxmlformats.org/wordprocessingml/2006/main">
  <w:zoom w:percent="9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Noto Sans Devanagari"/>
      <w:color w:val="00000A"/>
      <w:sz w:val="24"/>
      <w:szCs w:val="24"/>
      <w:lang w:val="en-US" w:eastAsia="zh-CN" w:bidi="hi-IN"/>
    </w:rPr>
  </w:style>
  <w:style w:type="paragraph" w:styleId="Heading1">
    <w:name w:val="Heading 1"/>
    <w:basedOn w:val="Heading"/>
    <w:qFormat/>
    <w:pPr/>
    <w:rPr/>
  </w:style>
  <w:style w:type="paragraph" w:styleId="Heading3">
    <w:name w:val="Heading 3"/>
    <w:basedOn w:val="Normal"/>
    <w:next w:val="Normal"/>
    <w:qFormat/>
    <w:pPr>
      <w:keepNext/>
      <w:ind w:right="-360" w:hanging="0"/>
      <w:outlineLvl w:val="2"/>
    </w:pPr>
    <w:rPr>
      <w:b/>
      <w:sz w:val="24"/>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Footnotereference">
    <w:name w:val="footnote reference"/>
    <w:basedOn w:val="DefaultParagraphFont"/>
    <w:qFormat/>
    <w:rPr>
      <w:vertAlign w:val="superscrip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193">
    <w:name w:val="ListLabel 193"/>
    <w:qFormat/>
    <w:rPr>
      <w:rFonts w:cs="Symbol"/>
      <w:sz w:val="24"/>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78">
    <w:name w:val="ListLabel 78"/>
    <w:qFormat/>
    <w:rPr>
      <w:b/>
      <w:sz w:val="24"/>
    </w:rPr>
  </w:style>
  <w:style w:type="character" w:styleId="ListLabel82">
    <w:name w:val="ListLabel 82"/>
    <w:qFormat/>
    <w:rPr>
      <w:b/>
      <w:sz w:val="24"/>
    </w:rPr>
  </w:style>
  <w:style w:type="character" w:styleId="ListLabel712">
    <w:name w:val="ListLabel 712"/>
    <w:qFormat/>
    <w:rPr>
      <w:rFonts w:cs="Symbol"/>
      <w:sz w:val="24"/>
    </w:rPr>
  </w:style>
  <w:style w:type="character" w:styleId="ListLabel713">
    <w:name w:val="ListLabel 713"/>
    <w:qFormat/>
    <w:rPr>
      <w:rFonts w:cs="Courier New"/>
    </w:rPr>
  </w:style>
  <w:style w:type="character" w:styleId="ListLabel714">
    <w:name w:val="ListLabel 714"/>
    <w:qFormat/>
    <w:rPr>
      <w:rFonts w:cs="Wingdings"/>
    </w:rPr>
  </w:style>
  <w:style w:type="character" w:styleId="ListLabel715">
    <w:name w:val="ListLabel 715"/>
    <w:qFormat/>
    <w:rPr>
      <w:rFonts w:cs="Symbol"/>
    </w:rPr>
  </w:style>
  <w:style w:type="character" w:styleId="ListLabel716">
    <w:name w:val="ListLabel 716"/>
    <w:qFormat/>
    <w:rPr>
      <w:rFonts w:cs="Courier New"/>
    </w:rPr>
  </w:style>
  <w:style w:type="character" w:styleId="ListLabel717">
    <w:name w:val="ListLabel 717"/>
    <w:qFormat/>
    <w:rPr>
      <w:rFonts w:cs="Wingdings"/>
    </w:rPr>
  </w:style>
  <w:style w:type="character" w:styleId="ListLabel718">
    <w:name w:val="ListLabel 718"/>
    <w:qFormat/>
    <w:rPr>
      <w:rFonts w:cs="Symbol"/>
    </w:rPr>
  </w:style>
  <w:style w:type="character" w:styleId="ListLabel719">
    <w:name w:val="ListLabel 719"/>
    <w:qFormat/>
    <w:rPr>
      <w:rFonts w:cs="Courier New"/>
    </w:rPr>
  </w:style>
  <w:style w:type="character" w:styleId="ListLabel720">
    <w:name w:val="ListLabel 720"/>
    <w:qFormat/>
    <w:rPr>
      <w:rFonts w:cs="Wingdings"/>
    </w:rPr>
  </w:style>
  <w:style w:type="character" w:styleId="ListLabel721">
    <w:name w:val="ListLabel 721"/>
    <w:qFormat/>
    <w:rPr>
      <w:b/>
      <w:sz w:val="24"/>
    </w:rPr>
  </w:style>
  <w:style w:type="character" w:styleId="ListLabel722">
    <w:name w:val="ListLabel 722"/>
    <w:qFormat/>
    <w:rPr>
      <w:b/>
      <w:sz w:val="24"/>
    </w:rPr>
  </w:style>
  <w:style w:type="character" w:styleId="ListLabel723">
    <w:name w:val="ListLabel 723"/>
    <w:qFormat/>
    <w:rPr>
      <w:rFonts w:cs="Symbol"/>
      <w:sz w:val="24"/>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cs="Symbol"/>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Symbol"/>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b/>
      <w:sz w:val="24"/>
    </w:rPr>
  </w:style>
  <w:style w:type="character" w:styleId="ListLabel733">
    <w:name w:val="ListLabel 733"/>
    <w:qFormat/>
    <w:rPr>
      <w:b/>
      <w:sz w:val="24"/>
    </w:rPr>
  </w:style>
  <w:style w:type="paragraph" w:styleId="Heading">
    <w:name w:val="Heading"/>
    <w:basedOn w:val="Normal"/>
    <w:next w:val="TextBody"/>
    <w:qFormat/>
    <w:pPr>
      <w:keepNext/>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pPr>
      <w:suppressLineNumbers/>
      <w:ind w:left="339" w:hanging="339"/>
    </w:pPr>
    <w:rPr>
      <w:sz w:val="20"/>
      <w:szCs w:val="20"/>
    </w:rPr>
  </w:style>
  <w:style w:type="paragraph" w:styleId="Footer">
    <w:name w:val="Footer"/>
    <w:basedOn w:val="Normal"/>
    <w:pPr/>
    <w:rPr/>
  </w:style>
  <w:style w:type="paragraph" w:styleId="Footnotetext">
    <w:name w:val="footnote text"/>
    <w:basedOn w:val="Normal"/>
    <w:qFormat/>
    <w:pPr/>
    <w:rPr>
      <w:sz w:val="22"/>
      <w:szCs w:val="20"/>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TotalTime>
  <Application>LibreOffice/5.2.7.2$Linux_X86_64 LibreOffice_project/20m0$Build-2</Application>
  <Pages>2</Pages>
  <Words>279</Words>
  <Characters>1532</Characters>
  <CharactersWithSpaces>1803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2020-10-29T03:02:59Z</dcterms:modified>
  <cp:revision>56</cp:revision>
  <dc:subject/>
  <dc:title/>
</cp:coreProperties>
</file>