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02"/>
        <w:ind w:left="-115" w:right="0" w:hanging="0"/>
        <w:jc w:val="center"/>
        <w:rPr>
          <w:rFonts w:ascii="Calibri" w:hAnsi="Calibri"/>
          <w:sz w:val="26"/>
          <w:szCs w:val="26"/>
        </w:rPr>
      </w:pPr>
      <w:r>
        <w:rPr>
          <w:rFonts w:ascii="Calibri" w:hAnsi="Calibri"/>
          <w:sz w:val="26"/>
          <w:szCs w:val="26"/>
        </w:rPr>
      </w:r>
    </w:p>
    <w:p>
      <w:pPr>
        <w:pStyle w:val="Normal"/>
        <w:bidi w:val="0"/>
        <w:spacing w:lineRule="auto" w:line="240" w:before="0" w:after="202"/>
        <w:ind w:left="-115" w:right="0" w:hanging="0"/>
        <w:jc w:val="center"/>
        <w:rPr>
          <w:rFonts w:ascii="Calibri" w:hAnsi="Calibri"/>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rFonts w:ascii="Calibri" w:hAnsi="Calibri"/>
        </w:rPr>
      </w:pPr>
      <w:r>
        <w:rPr>
          <w:rFonts w:ascii="Calibri" w:hAnsi="Calibri"/>
          <w:sz w:val="26"/>
          <w:szCs w:val="26"/>
        </w:rPr>
        <w:t>County Community College</w:t>
        <w:br/>
        <w:t xml:space="preserve">Michael J. Grant Campus </w:t>
      </w:r>
    </w:p>
    <w:p>
      <w:pPr>
        <w:pStyle w:val="Normal"/>
        <w:jc w:val="center"/>
        <w:rPr>
          <w:rFonts w:ascii="Calibri" w:hAnsi="Calibri"/>
        </w:rPr>
      </w:pPr>
      <w:r>
        <w:rPr>
          <w:rFonts w:ascii="Calibri" w:hAnsi="Calibri"/>
          <w:sz w:val="48"/>
          <w:szCs w:val="48"/>
        </w:rPr>
        <w:t>Academic Assembly</w:t>
      </w:r>
    </w:p>
    <w:p>
      <w:pPr>
        <w:pStyle w:val="Normal"/>
        <w:jc w:val="center"/>
        <w:rPr/>
      </w:pPr>
      <w:r>
        <w:rPr>
          <w:rFonts w:ascii="Calibri" w:hAnsi="Calibri"/>
          <w:b/>
          <w:bCs/>
          <w:sz w:val="24"/>
          <w:szCs w:val="24"/>
        </w:rPr>
        <w:t>Resolution 2020-09 [01]</w:t>
      </w:r>
    </w:p>
    <w:p>
      <w:pPr>
        <w:pStyle w:val="Normal"/>
        <w:jc w:val="center"/>
        <w:rPr>
          <w:rFonts w:ascii="Calibri" w:hAnsi="Calibri"/>
          <w:b/>
          <w:b/>
          <w:bCs/>
          <w:sz w:val="24"/>
          <w:szCs w:val="24"/>
        </w:rPr>
      </w:pPr>
      <w:r>
        <w:rPr>
          <w:rFonts w:ascii="Calibri" w:hAnsi="Calibri"/>
          <w:b/>
          <w:bCs/>
          <w:sz w:val="24"/>
          <w:szCs w:val="24"/>
        </w:rPr>
      </w:r>
    </w:p>
    <w:p>
      <w:pPr>
        <w:pStyle w:val="Normal"/>
        <w:jc w:val="center"/>
        <w:rPr/>
      </w:pPr>
      <w:r>
        <w:rPr>
          <w:rFonts w:ascii="Calibri" w:hAnsi="Calibri"/>
          <w:b/>
          <w:bCs/>
          <w:i w:val="false"/>
          <w:iCs w:val="false"/>
          <w:sz w:val="32"/>
          <w:szCs w:val="32"/>
        </w:rPr>
        <w:t>Expressing No Confidence</w:t>
      </w:r>
    </w:p>
    <w:p>
      <w:pPr>
        <w:pStyle w:val="Normal"/>
        <w:jc w:val="center"/>
        <w:rPr>
          <w:rFonts w:ascii="Calibri" w:hAnsi="Calibri"/>
          <w:b/>
          <w:b/>
          <w:bCs/>
          <w:i w:val="false"/>
          <w:i w:val="false"/>
          <w:iCs w:val="false"/>
          <w:sz w:val="32"/>
          <w:szCs w:val="32"/>
        </w:rPr>
      </w:pPr>
      <w:r>
        <w:rPr>
          <w:rFonts w:ascii="Calibri" w:hAnsi="Calibri"/>
          <w:b/>
          <w:bCs/>
          <w:i w:val="false"/>
          <w:iCs w:val="false"/>
          <w:sz w:val="32"/>
          <w:szCs w:val="32"/>
        </w:rPr>
        <w:t>in Politically Appointed Members of the SUNY Board of Trustees</w:t>
      </w:r>
    </w:p>
    <w:p>
      <w:pPr>
        <w:pStyle w:val="Normal"/>
        <w:jc w:val="center"/>
        <w:rPr>
          <w:b/>
          <w:b/>
          <w:bCs/>
        </w:rPr>
      </w:pPr>
      <w:r>
        <w:rPr>
          <w:b/>
          <w:bCs/>
        </w:rPr>
      </w:r>
    </w:p>
    <w:p>
      <w:pPr>
        <w:pStyle w:val="Normal"/>
        <w:widowControl/>
        <w:bidi w:val="0"/>
        <w:spacing w:before="0" w:after="120"/>
        <w:ind w:left="0" w:right="0" w:hanging="720"/>
        <w:jc w:val="both"/>
        <w:rPr/>
      </w:pPr>
      <w:r>
        <w:rPr>
          <w:rFonts w:ascii="Calibri" w:hAnsi="Calibri"/>
          <w:b/>
          <w:bCs/>
          <w:sz w:val="24"/>
          <w:szCs w:val="24"/>
        </w:rPr>
        <w:tab/>
        <w:t xml:space="preserve">Whereas </w:t>
      </w:r>
      <w:r>
        <w:rPr>
          <w:rFonts w:ascii="Calibri" w:hAnsi="Calibri"/>
          <w:b w:val="false"/>
          <w:bCs w:val="false"/>
          <w:sz w:val="24"/>
          <w:szCs w:val="24"/>
        </w:rPr>
        <w:t>the State University of New York (SUNY), like other public higher education  systems across the nation, is committed to fulfilling its core academic mission, to transform  students’ lives and life chances, and serve the state as a foundation for democracy, platform for  civic engagement, engine of economic development, pathway to the middle class, magnet for  population growth and private investment, and generators of health, creativity, and innovation;  and</w:t>
      </w:r>
    </w:p>
    <w:p>
      <w:pPr>
        <w:pStyle w:val="Normal"/>
        <w:widowControl/>
        <w:bidi w:val="0"/>
        <w:spacing w:before="0" w:after="120"/>
        <w:ind w:left="0" w:right="0" w:hanging="720"/>
        <w:jc w:val="both"/>
        <w:rPr>
          <w:rFonts w:ascii="Calibri" w:hAnsi="Calibri"/>
          <w:b w:val="false"/>
          <w:b w:val="false"/>
          <w:bCs w:val="false"/>
          <w:sz w:val="24"/>
          <w:szCs w:val="24"/>
        </w:rPr>
      </w:pPr>
      <w:r>
        <w:rPr>
          <w:rFonts w:ascii="Calibri" w:hAnsi="Calibri"/>
          <w:b w:val="false"/>
          <w:bCs w:val="false"/>
          <w:sz w:val="24"/>
          <w:szCs w:val="24"/>
        </w:rPr>
      </w:r>
    </w:p>
    <w:p>
      <w:pPr>
        <w:pStyle w:val="Normal"/>
        <w:widowControl/>
        <w:bidi w:val="0"/>
        <w:spacing w:before="0" w:after="120"/>
        <w:ind w:left="0" w:right="0" w:hanging="720"/>
        <w:jc w:val="both"/>
        <w:rPr>
          <w:rFonts w:ascii="Calibri" w:hAnsi="Calibri"/>
          <w:sz w:val="24"/>
          <w:szCs w:val="24"/>
        </w:rPr>
      </w:pPr>
      <w:r>
        <w:rPr>
          <w:rFonts w:ascii="Calibri" w:hAnsi="Calibri"/>
          <w:b/>
          <w:bCs/>
          <w:sz w:val="24"/>
          <w:szCs w:val="24"/>
        </w:rPr>
        <w:tab/>
        <w:t>Whereas</w:t>
      </w:r>
      <w:r>
        <w:rPr>
          <w:rFonts w:ascii="Calibri" w:hAnsi="Calibri"/>
          <w:b w:val="false"/>
          <w:bCs w:val="false"/>
          <w:sz w:val="24"/>
          <w:szCs w:val="24"/>
        </w:rPr>
        <w:t xml:space="preserve"> the SUNY Faculty Council of Community Colleges (SUNY FCCC), the SUNY  Student Assembly (SUNY SA), and the SUNY University Faculty Senate (SUNY UFS) have  advocated for following transparent and established process in searches for campus and SUNY  System Administration leaders; and</w:t>
      </w:r>
    </w:p>
    <w:p>
      <w:pPr>
        <w:pStyle w:val="Normal"/>
        <w:widowControl/>
        <w:bidi w:val="0"/>
        <w:spacing w:before="0" w:after="120"/>
        <w:ind w:left="0" w:right="0" w:hanging="720"/>
        <w:jc w:val="both"/>
        <w:rPr>
          <w:b w:val="false"/>
          <w:b w:val="false"/>
          <w:bCs w:val="false"/>
        </w:rPr>
      </w:pPr>
      <w:r>
        <w:rPr>
          <w:b w:val="false"/>
          <w:bCs w:val="false"/>
        </w:rPr>
      </w:r>
    </w:p>
    <w:p>
      <w:pPr>
        <w:pStyle w:val="Normal"/>
        <w:widowControl/>
        <w:bidi w:val="0"/>
        <w:spacing w:before="0" w:after="120"/>
        <w:ind w:left="0" w:right="0" w:hanging="720"/>
        <w:jc w:val="both"/>
        <w:rPr>
          <w:rFonts w:ascii="Calibri" w:hAnsi="Calibri"/>
          <w:sz w:val="24"/>
          <w:szCs w:val="24"/>
        </w:rPr>
      </w:pPr>
      <w:r>
        <w:rPr>
          <w:rFonts w:ascii="Calibri" w:hAnsi="Calibri"/>
          <w:b/>
          <w:bCs/>
          <w:sz w:val="24"/>
          <w:szCs w:val="24"/>
        </w:rPr>
        <w:tab/>
        <w:t xml:space="preserve">Whereas </w:t>
      </w:r>
      <w:r>
        <w:rPr>
          <w:rFonts w:ascii="Calibri" w:hAnsi="Calibri"/>
          <w:b w:val="false"/>
          <w:bCs w:val="false"/>
          <w:sz w:val="24"/>
          <w:szCs w:val="24"/>
        </w:rPr>
        <w:t>SUNY has a national reputation as a leader in the practice of shared governance,  as evidenced by the SUNY Voices initiative which has sponsored conferences, edited volumes,  and leadership trainings on shared governance; and</w:t>
      </w:r>
    </w:p>
    <w:p>
      <w:pPr>
        <w:pStyle w:val="Normal"/>
        <w:widowControl/>
        <w:bidi w:val="0"/>
        <w:spacing w:before="0" w:after="120"/>
        <w:ind w:left="0" w:right="0" w:hanging="720"/>
        <w:jc w:val="both"/>
        <w:rPr>
          <w:b w:val="false"/>
          <w:b w:val="false"/>
          <w:bCs w:val="false"/>
        </w:rPr>
      </w:pPr>
      <w:r>
        <w:rPr>
          <w:b w:val="false"/>
          <w:bCs w:val="false"/>
        </w:rPr>
      </w:r>
    </w:p>
    <w:p>
      <w:pPr>
        <w:pStyle w:val="Normal"/>
        <w:widowControl/>
        <w:bidi w:val="0"/>
        <w:spacing w:before="0" w:after="120"/>
        <w:ind w:left="0" w:right="0" w:hanging="720"/>
        <w:jc w:val="both"/>
        <w:rPr>
          <w:rFonts w:ascii="Calibri" w:hAnsi="Calibri"/>
          <w:sz w:val="24"/>
          <w:szCs w:val="24"/>
        </w:rPr>
      </w:pPr>
      <w:r>
        <w:rPr>
          <w:rFonts w:ascii="Calibri" w:hAnsi="Calibri"/>
          <w:b/>
          <w:bCs/>
          <w:sz w:val="24"/>
          <w:szCs w:val="24"/>
        </w:rPr>
        <w:tab/>
        <w:t xml:space="preserve">Whereas </w:t>
      </w:r>
      <w:r>
        <w:rPr>
          <w:rFonts w:ascii="Calibri" w:hAnsi="Calibri"/>
          <w:b w:val="false"/>
          <w:bCs w:val="false"/>
          <w:sz w:val="24"/>
          <w:szCs w:val="24"/>
        </w:rPr>
        <w:t>legitimate, broad-based and transparent search processes in higher education  represent a best practice in shared governance as per the AAUP Statement on Governance;  and</w:t>
      </w:r>
    </w:p>
    <w:p>
      <w:pPr>
        <w:pStyle w:val="Normal"/>
        <w:widowControl/>
        <w:bidi w:val="0"/>
        <w:spacing w:before="0" w:after="120"/>
        <w:ind w:left="0" w:right="0" w:hanging="720"/>
        <w:jc w:val="both"/>
        <w:rPr>
          <w:b/>
          <w:b/>
          <w:bCs/>
        </w:rPr>
      </w:pPr>
      <w:r>
        <w:rPr>
          <w:b/>
          <w:bCs/>
        </w:rPr>
      </w:r>
    </w:p>
    <w:p>
      <w:pPr>
        <w:pStyle w:val="Normal"/>
        <w:widowControl/>
        <w:bidi w:val="0"/>
        <w:spacing w:before="0" w:after="120"/>
        <w:ind w:left="0" w:right="0" w:hanging="720"/>
        <w:jc w:val="both"/>
        <w:rPr>
          <w:rFonts w:ascii="Calibri" w:hAnsi="Calibri"/>
          <w:sz w:val="24"/>
          <w:szCs w:val="24"/>
        </w:rPr>
      </w:pPr>
      <w:r>
        <w:rPr>
          <w:rFonts w:ascii="Calibri" w:hAnsi="Calibri"/>
          <w:b/>
          <w:bCs/>
          <w:sz w:val="24"/>
          <w:szCs w:val="24"/>
        </w:rPr>
        <w:tab/>
        <w:t xml:space="preserve">Whereas </w:t>
      </w:r>
      <w:r>
        <w:rPr>
          <w:rFonts w:ascii="Calibri" w:hAnsi="Calibri"/>
          <w:b w:val="false"/>
          <w:bCs w:val="false"/>
          <w:sz w:val="24"/>
          <w:szCs w:val="24"/>
        </w:rPr>
        <w:t>searches for the SUNY Chancellor over the last two decades have followed  transparent and established search processes, resulting in excellent outcomes; and</w:t>
      </w:r>
    </w:p>
    <w:p>
      <w:pPr>
        <w:pStyle w:val="Normal"/>
        <w:widowControl/>
        <w:bidi w:val="0"/>
        <w:spacing w:before="0" w:after="120"/>
        <w:ind w:left="0" w:right="0" w:hanging="720"/>
        <w:jc w:val="both"/>
        <w:rPr>
          <w:b w:val="false"/>
          <w:b w:val="false"/>
          <w:bCs w:val="false"/>
        </w:rPr>
      </w:pPr>
      <w:r>
        <w:rPr>
          <w:b w:val="false"/>
          <w:bCs w:val="false"/>
        </w:rPr>
      </w:r>
    </w:p>
    <w:p>
      <w:pPr>
        <w:pStyle w:val="Normal"/>
        <w:widowControl/>
        <w:bidi w:val="0"/>
        <w:spacing w:before="0" w:after="120"/>
        <w:ind w:left="0" w:right="0" w:hanging="720"/>
        <w:jc w:val="both"/>
        <w:rPr>
          <w:rFonts w:ascii="Calibri" w:hAnsi="Calibri"/>
          <w:sz w:val="24"/>
          <w:szCs w:val="24"/>
        </w:rPr>
      </w:pPr>
      <w:r>
        <w:rPr>
          <w:rFonts w:ascii="Calibri" w:hAnsi="Calibri"/>
          <w:b/>
          <w:bCs/>
          <w:sz w:val="24"/>
          <w:szCs w:val="24"/>
        </w:rPr>
        <w:tab/>
        <w:t xml:space="preserve">Whereas </w:t>
      </w:r>
      <w:r>
        <w:rPr>
          <w:rFonts w:ascii="Calibri" w:hAnsi="Calibri"/>
          <w:b w:val="false"/>
          <w:bCs w:val="false"/>
          <w:sz w:val="24"/>
          <w:szCs w:val="24"/>
        </w:rPr>
        <w:t>the politically appointed members of the Board of Trustees have ignored this proud  history that in the past demonstrated shared governance in chancellor and presidential  searches at SUNY and its campuses; and</w:t>
      </w:r>
    </w:p>
    <w:p>
      <w:pPr>
        <w:pStyle w:val="Normal"/>
        <w:widowControl/>
        <w:bidi w:val="0"/>
        <w:spacing w:before="0" w:after="120"/>
        <w:ind w:left="0" w:right="0" w:hanging="720"/>
        <w:jc w:val="both"/>
        <w:rPr>
          <w:rFonts w:ascii="Calibri" w:hAnsi="Calibri"/>
          <w:sz w:val="24"/>
          <w:szCs w:val="24"/>
        </w:rPr>
      </w:pPr>
      <w:r>
        <w:rPr>
          <w:rFonts w:ascii="Calibri" w:hAnsi="Calibri"/>
          <w:b/>
          <w:bCs/>
          <w:sz w:val="24"/>
          <w:szCs w:val="24"/>
        </w:rPr>
        <w:tab/>
        <w:t>Whereas</w:t>
      </w:r>
      <w:r>
        <w:rPr>
          <w:rFonts w:ascii="Calibri" w:hAnsi="Calibri"/>
          <w:b w:val="false"/>
          <w:bCs w:val="false"/>
          <w:sz w:val="24"/>
          <w:szCs w:val="24"/>
        </w:rPr>
        <w:t xml:space="preserve"> the SUNY Board of Trustees approved the Resolution on Diversity, Equity and  Inclusion in September of 2015 in order to grow the diversity of SUNY’s system and campus  leadership, as well as its faculty and staff; and</w:t>
      </w:r>
    </w:p>
    <w:p>
      <w:pPr>
        <w:pStyle w:val="Normal"/>
        <w:widowControl/>
        <w:bidi w:val="0"/>
        <w:spacing w:before="0" w:after="120"/>
        <w:ind w:left="0" w:right="0" w:hanging="720"/>
        <w:jc w:val="both"/>
        <w:rPr>
          <w:b w:val="false"/>
          <w:b w:val="false"/>
          <w:bCs w:val="false"/>
        </w:rPr>
      </w:pPr>
      <w:r>
        <w:rPr>
          <w:b w:val="false"/>
          <w:bCs w:val="false"/>
        </w:rPr>
      </w:r>
    </w:p>
    <w:p>
      <w:pPr>
        <w:pStyle w:val="Normal"/>
        <w:widowControl/>
        <w:bidi w:val="0"/>
        <w:spacing w:before="0" w:after="120"/>
        <w:ind w:left="0" w:right="0" w:hanging="720"/>
        <w:jc w:val="both"/>
        <w:rPr>
          <w:rFonts w:ascii="Calibri" w:hAnsi="Calibri"/>
          <w:sz w:val="24"/>
          <w:szCs w:val="24"/>
        </w:rPr>
      </w:pPr>
      <w:r>
        <w:rPr>
          <w:rFonts w:ascii="Calibri" w:hAnsi="Calibri"/>
          <w:b/>
          <w:bCs/>
          <w:sz w:val="24"/>
          <w:szCs w:val="24"/>
        </w:rPr>
        <w:tab/>
        <w:t xml:space="preserve">Whereas </w:t>
      </w:r>
      <w:r>
        <w:rPr>
          <w:rFonts w:ascii="Calibri" w:hAnsi="Calibri"/>
          <w:b w:val="false"/>
          <w:bCs w:val="false"/>
          <w:sz w:val="24"/>
          <w:szCs w:val="24"/>
        </w:rPr>
        <w:t>in bypassing a transparent and inclusive national search process, the politically  appointed members of the SUNY Board of Trustees have neglected to actualize the goals of the  Resolution on Diversity, Equity and Inclusion; and</w:t>
      </w:r>
    </w:p>
    <w:p>
      <w:pPr>
        <w:pStyle w:val="Normal"/>
        <w:widowControl/>
        <w:bidi w:val="0"/>
        <w:spacing w:before="0" w:after="120"/>
        <w:ind w:left="0" w:right="0" w:hanging="720"/>
        <w:jc w:val="both"/>
        <w:rPr>
          <w:b/>
          <w:b/>
          <w:bCs/>
        </w:rPr>
      </w:pPr>
      <w:r>
        <w:rPr>
          <w:b/>
          <w:bCs/>
        </w:rPr>
      </w:r>
    </w:p>
    <w:p>
      <w:pPr>
        <w:pStyle w:val="Normal"/>
        <w:widowControl/>
        <w:bidi w:val="0"/>
        <w:spacing w:before="0" w:after="120"/>
        <w:ind w:left="0" w:right="0" w:hanging="720"/>
        <w:jc w:val="both"/>
        <w:rPr>
          <w:rFonts w:ascii="Calibri" w:hAnsi="Calibri"/>
          <w:sz w:val="24"/>
          <w:szCs w:val="24"/>
        </w:rPr>
      </w:pPr>
      <w:r>
        <w:rPr>
          <w:rFonts w:ascii="Calibri" w:hAnsi="Calibri"/>
          <w:b/>
          <w:bCs/>
          <w:sz w:val="24"/>
          <w:szCs w:val="24"/>
        </w:rPr>
        <w:tab/>
        <w:t xml:space="preserve">Whereas </w:t>
      </w:r>
      <w:r>
        <w:rPr>
          <w:rFonts w:ascii="Calibri" w:hAnsi="Calibri"/>
          <w:b w:val="false"/>
          <w:bCs w:val="false"/>
          <w:sz w:val="24"/>
          <w:szCs w:val="24"/>
        </w:rPr>
        <w:t>the current budget and health crises do not necessitate the abandonment of shared  governance, in that collaboration and inclusive decision-making instead will generate the best  decisions going forward; and</w:t>
      </w:r>
    </w:p>
    <w:p>
      <w:pPr>
        <w:pStyle w:val="Normal"/>
        <w:widowControl/>
        <w:bidi w:val="0"/>
        <w:spacing w:before="0" w:after="120"/>
        <w:ind w:left="0" w:right="0" w:hanging="720"/>
        <w:jc w:val="both"/>
        <w:rPr>
          <w:b/>
          <w:b/>
          <w:bCs/>
        </w:rPr>
      </w:pPr>
      <w:r>
        <w:rPr>
          <w:b/>
          <w:bCs/>
        </w:rPr>
      </w:r>
    </w:p>
    <w:p>
      <w:pPr>
        <w:pStyle w:val="Normal"/>
        <w:widowControl/>
        <w:bidi w:val="0"/>
        <w:spacing w:before="0" w:after="120"/>
        <w:ind w:left="0" w:right="0" w:hanging="720"/>
        <w:jc w:val="both"/>
        <w:rPr>
          <w:rFonts w:ascii="Calibri" w:hAnsi="Calibri"/>
          <w:sz w:val="24"/>
          <w:szCs w:val="24"/>
        </w:rPr>
      </w:pPr>
      <w:r>
        <w:rPr>
          <w:rFonts w:ascii="Calibri" w:hAnsi="Calibri"/>
          <w:b/>
          <w:bCs/>
          <w:sz w:val="24"/>
          <w:szCs w:val="24"/>
        </w:rPr>
        <w:tab/>
        <w:t xml:space="preserve">Whereas </w:t>
      </w:r>
      <w:r>
        <w:rPr>
          <w:rFonts w:ascii="Calibri" w:hAnsi="Calibri"/>
          <w:b w:val="false"/>
          <w:bCs w:val="false"/>
          <w:sz w:val="24"/>
          <w:szCs w:val="24"/>
        </w:rPr>
        <w:t>the politically appointed members of the Board of Trustees have condoned the  unilateral appointment of a Chancellor, acting in a manner that disregards norms, practices and  traditions in higher education; and</w:t>
      </w:r>
    </w:p>
    <w:p>
      <w:pPr>
        <w:pStyle w:val="Normal"/>
        <w:widowControl/>
        <w:bidi w:val="0"/>
        <w:spacing w:before="0" w:after="120"/>
        <w:ind w:left="0" w:right="0" w:hanging="720"/>
        <w:jc w:val="both"/>
        <w:rPr>
          <w:b w:val="false"/>
          <w:b w:val="false"/>
          <w:bCs w:val="false"/>
        </w:rPr>
      </w:pPr>
      <w:r>
        <w:rPr>
          <w:b w:val="false"/>
          <w:bCs w:val="false"/>
        </w:rPr>
      </w:r>
    </w:p>
    <w:p>
      <w:pPr>
        <w:pStyle w:val="Normal"/>
        <w:widowControl/>
        <w:bidi w:val="0"/>
        <w:spacing w:before="0" w:after="120"/>
        <w:ind w:left="0" w:right="0" w:hanging="720"/>
        <w:jc w:val="both"/>
        <w:rPr/>
      </w:pPr>
      <w:r>
        <w:rPr>
          <w:rFonts w:ascii="Calibri" w:hAnsi="Calibri"/>
          <w:b w:val="false"/>
          <w:bCs w:val="false"/>
          <w:sz w:val="24"/>
          <w:szCs w:val="24"/>
        </w:rPr>
        <w:tab/>
      </w:r>
      <w:r>
        <w:rPr>
          <w:rFonts w:ascii="Calibri" w:hAnsi="Calibri"/>
          <w:b/>
          <w:bCs/>
          <w:sz w:val="24"/>
          <w:szCs w:val="24"/>
        </w:rPr>
        <w:t>Whereas</w:t>
      </w:r>
      <w:r>
        <w:rPr>
          <w:rFonts w:ascii="Calibri" w:hAnsi="Calibri"/>
          <w:b w:val="false"/>
          <w:bCs w:val="false"/>
          <w:sz w:val="24"/>
          <w:szCs w:val="24"/>
        </w:rPr>
        <w:t xml:space="preserve"> on August 21, 2020 the  Executive Committees of the SUNY  Faculty Council of Community Colleges and University Faculty Senate approved, and SUNY Student Assembly endorsed, a joint vote of no confidence resolution; therefore be it </w:t>
      </w:r>
    </w:p>
    <w:p>
      <w:pPr>
        <w:pStyle w:val="Normal"/>
        <w:widowControl/>
        <w:bidi w:val="0"/>
        <w:spacing w:before="0" w:after="120"/>
        <w:ind w:left="0" w:right="0" w:hanging="720"/>
        <w:jc w:val="both"/>
        <w:rPr/>
      </w:pPr>
      <w:r>
        <w:rPr>
          <w:rFonts w:ascii="Calibri" w:hAnsi="Calibri"/>
          <w:b w:val="false"/>
          <w:bCs w:val="false"/>
          <w:sz w:val="24"/>
          <w:szCs w:val="24"/>
        </w:rPr>
        <w:tab/>
      </w:r>
    </w:p>
    <w:p>
      <w:pPr>
        <w:pStyle w:val="Normal"/>
        <w:widowControl/>
        <w:bidi w:val="0"/>
        <w:spacing w:before="0" w:after="120"/>
        <w:ind w:left="0" w:right="0" w:hanging="720"/>
        <w:jc w:val="both"/>
        <w:rPr>
          <w:rFonts w:ascii="Calibri" w:hAnsi="Calibri"/>
          <w:b w:val="false"/>
          <w:b w:val="false"/>
          <w:bCs w:val="false"/>
          <w:sz w:val="24"/>
          <w:szCs w:val="24"/>
        </w:rPr>
      </w:pPr>
      <w:r>
        <w:rPr>
          <w:rFonts w:ascii="Calibri" w:hAnsi="Calibri"/>
          <w:b w:val="false"/>
          <w:bCs w:val="false"/>
          <w:sz w:val="24"/>
          <w:szCs w:val="24"/>
        </w:rPr>
      </w:r>
    </w:p>
    <w:p>
      <w:pPr>
        <w:pStyle w:val="Normal"/>
        <w:widowControl/>
        <w:bidi w:val="0"/>
        <w:spacing w:before="0" w:after="120"/>
        <w:ind w:left="0" w:right="0" w:hanging="720"/>
        <w:jc w:val="both"/>
        <w:rPr/>
      </w:pPr>
      <w:r>
        <w:rPr>
          <w:rFonts w:ascii="Calibri" w:hAnsi="Calibri"/>
          <w:b w:val="false"/>
          <w:bCs w:val="false"/>
          <w:sz w:val="24"/>
          <w:szCs w:val="24"/>
        </w:rPr>
        <w:tab/>
      </w:r>
      <w:r>
        <w:rPr>
          <w:rFonts w:ascii="Calibri" w:hAnsi="Calibri"/>
          <w:b/>
          <w:bCs/>
          <w:sz w:val="24"/>
          <w:szCs w:val="24"/>
        </w:rPr>
        <w:t>Resolved</w:t>
      </w:r>
      <w:r>
        <w:rPr>
          <w:rFonts w:ascii="Calibri" w:hAnsi="Calibri"/>
          <w:b w:val="false"/>
          <w:bCs w:val="false"/>
          <w:sz w:val="24"/>
          <w:szCs w:val="24"/>
        </w:rPr>
        <w:t xml:space="preserve"> that the Grant Campus Academic Assembly  expresses no  confidence in the politically appointed members of the SUNY Board of Trustees who voted in  favor of the appointment of a new chancellor on August 21, 2020, given their action regarding  the appointment of the 14th chancellor without conducting a search that meets standards of  shared governance and effective leadership of our University System</w:t>
      </w:r>
      <w:r>
        <w:rPr>
          <w:rFonts w:ascii="Calibri" w:hAnsi="Calibri"/>
          <w:sz w:val="24"/>
          <w:szCs w:val="24"/>
        </w:rPr>
        <w:t>.</w:t>
      </w:r>
    </w:p>
    <w:p>
      <w:pPr>
        <w:pStyle w:val="Normal"/>
        <w:widowControl/>
        <w:bidi w:val="0"/>
        <w:spacing w:before="0" w:after="120"/>
        <w:ind w:left="0" w:right="0" w:hanging="0"/>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bidi w:val="0"/>
        <w:spacing w:lineRule="auto" w:line="240" w:before="0" w:after="200"/>
        <w:ind w:left="-115" w:right="0" w:hanging="0"/>
        <w:jc w:val="left"/>
        <w:rPr/>
      </w:pPr>
      <w:r>
        <w:rPr>
          <w:rFonts w:ascii="Calibri" w:hAnsi="Calibri"/>
          <w:sz w:val="24"/>
          <w:szCs w:val="24"/>
        </w:rPr>
        <w:tab/>
        <w:t xml:space="preserve">Passed [26-1-17] </w:t>
      </w:r>
      <w:r>
        <w:rPr>
          <w:rFonts w:ascii="Calibri" w:hAnsi="Calibri"/>
          <w:sz w:val="24"/>
          <w:szCs w:val="24"/>
        </w:rPr>
        <w:t>in</w:t>
      </w:r>
      <w:bookmarkStart w:id="0" w:name="__DdeLink__666_1942874924"/>
      <w:r>
        <w:rPr>
          <w:rFonts w:ascii="Calibri" w:hAnsi="Calibri"/>
          <w:sz w:val="24"/>
          <w:szCs w:val="24"/>
        </w:rPr>
        <w:t xml:space="preserve"> an online vote open between September 22 and September 29,</w:t>
      </w:r>
      <w:bookmarkEnd w:id="0"/>
      <w:r>
        <w:rPr>
          <w:rFonts w:ascii="Calibri" w:hAnsi="Calibri"/>
          <w:sz w:val="24"/>
          <w:szCs w:val="24"/>
        </w:rPr>
        <w:t xml:space="preserve"> 2020</w:t>
      </w:r>
    </w:p>
    <w:sectPr>
      <w:footerReference w:type="default" r:id="rId3"/>
      <w:type w:val="nextPage"/>
      <w:pgSz w:w="11906" w:h="16838"/>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jc w:val="center"/>
      <w:rPr/>
    </w:pPr>
    <w:r>
      <w:rPr/>
    </w:r>
  </w:p>
</w:ftr>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Noto Sans Devanagari"/>
      <w:color w:val="00000A"/>
      <w:sz w:val="24"/>
      <w:szCs w:val="24"/>
      <w:lang w:val="en-US" w:eastAsia="zh-CN" w:bidi="hi-IN"/>
    </w:rPr>
  </w:style>
  <w:style w:type="paragraph" w:styleId="Heading1">
    <w:name w:val="Heading 1"/>
    <w:basedOn w:val="Heading"/>
    <w:qFormat/>
    <w:pPr/>
    <w:rPr/>
  </w:style>
  <w:style w:type="paragraph" w:styleId="Heading3">
    <w:name w:val="Heading 3"/>
    <w:basedOn w:val="Normal"/>
    <w:next w:val="Normal"/>
    <w:qFormat/>
    <w:pPr>
      <w:keepNext/>
      <w:ind w:right="-360" w:hanging="0"/>
      <w:outlineLvl w:val="2"/>
    </w:pPr>
    <w:rPr>
      <w:b/>
      <w:sz w:val="24"/>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DefaultParagraphFont">
    <w:name w:val="Default Paragraph Font"/>
    <w:qFormat/>
    <w:rPr/>
  </w:style>
  <w:style w:type="character" w:styleId="Footnotereference">
    <w:name w:val="footnote reference"/>
    <w:basedOn w:val="DefaultParagraphFont"/>
    <w:qFormat/>
    <w:rPr>
      <w:vertAlign w:val="superscript"/>
    </w:rPr>
  </w:style>
  <w:style w:type="character" w:styleId="Bullets">
    <w:name w:val="Bullets"/>
    <w:qFormat/>
    <w:rPr>
      <w:rFonts w:ascii="OpenSymbol" w:hAnsi="OpenSymbol" w:eastAsia="OpenSymbol"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193">
    <w:name w:val="ListLabel 193"/>
    <w:qFormat/>
    <w:rPr>
      <w:rFonts w:cs="Symbol"/>
      <w:sz w:val="24"/>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78">
    <w:name w:val="ListLabel 78"/>
    <w:qFormat/>
    <w:rPr>
      <w:b/>
      <w:sz w:val="24"/>
    </w:rPr>
  </w:style>
  <w:style w:type="character" w:styleId="ListLabel82">
    <w:name w:val="ListLabel 82"/>
    <w:qFormat/>
    <w:rPr>
      <w:b/>
      <w:sz w:val="24"/>
    </w:rPr>
  </w:style>
  <w:style w:type="character" w:styleId="ListLabel712">
    <w:name w:val="ListLabel 712"/>
    <w:qFormat/>
    <w:rPr>
      <w:rFonts w:cs="Symbol"/>
      <w:sz w:val="24"/>
    </w:rPr>
  </w:style>
  <w:style w:type="character" w:styleId="ListLabel713">
    <w:name w:val="ListLabel 713"/>
    <w:qFormat/>
    <w:rPr>
      <w:rFonts w:cs="Courier New"/>
    </w:rPr>
  </w:style>
  <w:style w:type="character" w:styleId="ListLabel714">
    <w:name w:val="ListLabel 714"/>
    <w:qFormat/>
    <w:rPr>
      <w:rFonts w:cs="Wingdings"/>
    </w:rPr>
  </w:style>
  <w:style w:type="character" w:styleId="ListLabel715">
    <w:name w:val="ListLabel 715"/>
    <w:qFormat/>
    <w:rPr>
      <w:rFonts w:cs="Symbol"/>
    </w:rPr>
  </w:style>
  <w:style w:type="character" w:styleId="ListLabel716">
    <w:name w:val="ListLabel 716"/>
    <w:qFormat/>
    <w:rPr>
      <w:rFonts w:cs="Courier New"/>
    </w:rPr>
  </w:style>
  <w:style w:type="character" w:styleId="ListLabel717">
    <w:name w:val="ListLabel 717"/>
    <w:qFormat/>
    <w:rPr>
      <w:rFonts w:cs="Wingdings"/>
    </w:rPr>
  </w:style>
  <w:style w:type="character" w:styleId="ListLabel718">
    <w:name w:val="ListLabel 718"/>
    <w:qFormat/>
    <w:rPr>
      <w:rFonts w:cs="Symbol"/>
    </w:rPr>
  </w:style>
  <w:style w:type="character" w:styleId="ListLabel719">
    <w:name w:val="ListLabel 719"/>
    <w:qFormat/>
    <w:rPr>
      <w:rFonts w:cs="Courier New"/>
    </w:rPr>
  </w:style>
  <w:style w:type="character" w:styleId="ListLabel720">
    <w:name w:val="ListLabel 720"/>
    <w:qFormat/>
    <w:rPr>
      <w:rFonts w:cs="Wingdings"/>
    </w:rPr>
  </w:style>
  <w:style w:type="character" w:styleId="ListLabel721">
    <w:name w:val="ListLabel 721"/>
    <w:qFormat/>
    <w:rPr>
      <w:b/>
      <w:sz w:val="24"/>
    </w:rPr>
  </w:style>
  <w:style w:type="character" w:styleId="ListLabel722">
    <w:name w:val="ListLabel 722"/>
    <w:qFormat/>
    <w:rPr>
      <w:b/>
      <w:sz w:val="24"/>
    </w:rPr>
  </w:style>
  <w:style w:type="character" w:styleId="ListLabel723">
    <w:name w:val="ListLabel 723"/>
    <w:qFormat/>
    <w:rPr>
      <w:rFonts w:cs="Symbol"/>
      <w:sz w:val="24"/>
    </w:rPr>
  </w:style>
  <w:style w:type="character" w:styleId="ListLabel724">
    <w:name w:val="ListLabel 724"/>
    <w:qFormat/>
    <w:rPr>
      <w:rFonts w:cs="Courier New"/>
    </w:rPr>
  </w:style>
  <w:style w:type="character" w:styleId="ListLabel725">
    <w:name w:val="ListLabel 725"/>
    <w:qFormat/>
    <w:rPr>
      <w:rFonts w:cs="Wingdings"/>
    </w:rPr>
  </w:style>
  <w:style w:type="character" w:styleId="ListLabel726">
    <w:name w:val="ListLabel 726"/>
    <w:qFormat/>
    <w:rPr>
      <w:rFonts w:cs="Symbol"/>
    </w:rPr>
  </w:style>
  <w:style w:type="character" w:styleId="ListLabel727">
    <w:name w:val="ListLabel 727"/>
    <w:qFormat/>
    <w:rPr>
      <w:rFonts w:cs="Courier New"/>
    </w:rPr>
  </w:style>
  <w:style w:type="character" w:styleId="ListLabel728">
    <w:name w:val="ListLabel 728"/>
    <w:qFormat/>
    <w:rPr>
      <w:rFonts w:cs="Wingdings"/>
    </w:rPr>
  </w:style>
  <w:style w:type="character" w:styleId="ListLabel729">
    <w:name w:val="ListLabel 729"/>
    <w:qFormat/>
    <w:rPr>
      <w:rFonts w:cs="Symbol"/>
    </w:rPr>
  </w:style>
  <w:style w:type="character" w:styleId="ListLabel730">
    <w:name w:val="ListLabel 730"/>
    <w:qFormat/>
    <w:rPr>
      <w:rFonts w:cs="Courier New"/>
    </w:rPr>
  </w:style>
  <w:style w:type="character" w:styleId="ListLabel731">
    <w:name w:val="ListLabel 731"/>
    <w:qFormat/>
    <w:rPr>
      <w:rFonts w:cs="Wingdings"/>
    </w:rPr>
  </w:style>
  <w:style w:type="character" w:styleId="ListLabel732">
    <w:name w:val="ListLabel 732"/>
    <w:qFormat/>
    <w:rPr>
      <w:b/>
      <w:sz w:val="24"/>
    </w:rPr>
  </w:style>
  <w:style w:type="character" w:styleId="ListLabel733">
    <w:name w:val="ListLabel 733"/>
    <w:qFormat/>
    <w:rPr>
      <w:b/>
      <w:sz w:val="24"/>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pPr>
      <w:suppressLineNumbers/>
      <w:ind w:left="339" w:hanging="339"/>
    </w:pPr>
    <w:rPr>
      <w:sz w:val="20"/>
      <w:szCs w:val="20"/>
    </w:rPr>
  </w:style>
  <w:style w:type="paragraph" w:styleId="Footer">
    <w:name w:val="Footer"/>
    <w:basedOn w:val="Normal"/>
    <w:pPr/>
    <w:rPr/>
  </w:style>
  <w:style w:type="paragraph" w:styleId="Footnotetext">
    <w:name w:val="footnote text"/>
    <w:basedOn w:val="Normal"/>
    <w:qFormat/>
    <w:pPr/>
    <w:rPr>
      <w:sz w:val="22"/>
      <w:szCs w:val="20"/>
    </w:rPr>
  </w:style>
  <w:style w:type="paragraph" w:styleId="ListParagraph">
    <w:name w:val="List Paragraph"/>
    <w:basedOn w:val="Normal"/>
    <w:qFormat/>
    <w:pPr>
      <w:spacing w:before="0" w:after="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64</TotalTime>
  <Application>LibreOffice/5.2.7.2$Linux_X86_64 LibreOffice_project/20m0$Build-2</Application>
  <Pages>2</Pages>
  <Words>500</Words>
  <Characters>2838</Characters>
  <CharactersWithSpaces>3366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2020-10-29T02:58:30Z</dcterms:modified>
  <cp:revision>48</cp:revision>
  <dc:subject/>
  <dc:title/>
</cp:coreProperties>
</file>