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rFonts w:ascii="Calibri" w:hAnsi="Calibri"/>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pPr>
      <w:r>
        <w:rPr>
          <w:rFonts w:ascii="Calibri" w:hAnsi="Calibri"/>
          <w:b/>
          <w:bCs/>
          <w:sz w:val="24"/>
          <w:szCs w:val="24"/>
        </w:rPr>
        <w:t>Resolution 2020-02 [15]</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Expressing Support for the</w:t>
      </w:r>
    </w:p>
    <w:p>
      <w:pPr>
        <w:pStyle w:val="Normal"/>
        <w:jc w:val="center"/>
        <w:rPr/>
      </w:pPr>
      <w:r>
        <w:rPr>
          <w:rFonts w:ascii="Calibri" w:hAnsi="Calibri"/>
          <w:b/>
          <w:bCs/>
          <w:sz w:val="32"/>
          <w:szCs w:val="32"/>
        </w:rPr>
        <w:t>Letter by Ammerman Campus Academic Departments</w:t>
      </w:r>
    </w:p>
    <w:p>
      <w:pPr>
        <w:pStyle w:val="Normal"/>
        <w:jc w:val="center"/>
        <w:rPr/>
      </w:pPr>
      <w:bookmarkStart w:id="0" w:name="__DdeLink__4461_1273669262"/>
      <w:bookmarkEnd w:id="0"/>
      <w:r>
        <w:rPr>
          <w:rFonts w:ascii="Calibri" w:hAnsi="Calibri"/>
          <w:b/>
          <w:bCs/>
          <w:sz w:val="32"/>
          <w:szCs w:val="32"/>
        </w:rPr>
        <w:t>to Vice Presidents Paul Beaudin and Chris Adams</w:t>
      </w:r>
    </w:p>
    <w:p>
      <w:pPr>
        <w:pStyle w:val="Normal"/>
        <w:jc w:val="center"/>
        <w:rPr>
          <w:b/>
          <w:b/>
          <w:bCs/>
        </w:rPr>
      </w:pPr>
      <w:r>
        <w:rPr>
          <w:b/>
          <w:bCs/>
        </w:rPr>
      </w:r>
    </w:p>
    <w:p>
      <w:pPr>
        <w:pStyle w:val="Normal"/>
        <w:widowControl/>
        <w:bidi w:val="0"/>
        <w:spacing w:before="0" w:after="120"/>
        <w:ind w:left="0" w:right="0" w:hanging="720"/>
        <w:jc w:val="both"/>
        <w:rPr/>
      </w:pPr>
      <w:r>
        <w:rPr>
          <w:rFonts w:ascii="Calibri" w:hAnsi="Calibri"/>
          <w:b/>
          <w:bCs/>
          <w:sz w:val="24"/>
          <w:szCs w:val="24"/>
        </w:rPr>
        <w:tab/>
        <w:t>Whereas</w:t>
      </w:r>
      <w:r>
        <w:rPr>
          <w:rFonts w:ascii="Calibri" w:hAnsi="Calibri"/>
          <w:b w:val="false"/>
          <w:bCs w:val="false"/>
          <w:sz w:val="24"/>
          <w:szCs w:val="24"/>
        </w:rPr>
        <w:t xml:space="preserve"> academic departments at the Ammerman campus signed a letter dated May 8, 2020 calling on the administration to “make use of the faculty’s expertise and to solicit our input on grading issues and curricular matters moving forward—through governance, the union, and/or the department chairs—to create a unified message for the greater good of the college community,” and</w:t>
      </w:r>
    </w:p>
    <w:p>
      <w:pPr>
        <w:pStyle w:val="Normal"/>
        <w:rPr>
          <w:rFonts w:ascii="Calibri" w:hAnsi="Calibri"/>
          <w:b w:val="false"/>
          <w:b w:val="false"/>
          <w:bCs w:val="false"/>
        </w:rPr>
      </w:pPr>
      <w:r>
        <w:rPr>
          <w:rFonts w:ascii="Calibri" w:hAnsi="Calibri"/>
          <w:b/>
          <w:bCs/>
        </w:rPr>
        <w:t>Whereas</w:t>
      </w:r>
      <w:r>
        <w:rPr>
          <w:rFonts w:ascii="Calibri" w:hAnsi="Calibri"/>
          <w:b w:val="false"/>
          <w:bCs w:val="false"/>
        </w:rPr>
        <w:t xml:space="preserve"> the letter recognizes the “extremely challenging times” faced by the College and the world, and</w:t>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bCs/>
        </w:rPr>
        <w:t>Whereas</w:t>
      </w:r>
      <w:r>
        <w:rPr>
          <w:rFonts w:ascii="Calibri" w:hAnsi="Calibri"/>
          <w:b w:val="false"/>
          <w:bCs w:val="false"/>
        </w:rPr>
        <w:t xml:space="preserve"> difficult times should encourage adequate consultation with faculty to harness the collective wisdom of the academic community when formulating academic policy, and</w:t>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bCs/>
        </w:rPr>
        <w:t>Whereas</w:t>
      </w:r>
      <w:r>
        <w:rPr>
          <w:rFonts w:ascii="Calibri" w:hAnsi="Calibri"/>
          <w:b w:val="false"/>
          <w:bCs w:val="false"/>
        </w:rPr>
        <w:t xml:space="preserve"> many policies enunciated by the administration in College Briefs and direct communications with students may harm the academic progress of students even though they are intended to help them, and</w:t>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bCs/>
        </w:rPr>
        <w:t>Whereas</w:t>
      </w:r>
      <w:r>
        <w:rPr>
          <w:rFonts w:ascii="Calibri" w:hAnsi="Calibri"/>
          <w:b w:val="false"/>
          <w:bCs w:val="false"/>
        </w:rPr>
        <w:t xml:space="preserve"> untenured faculty, adjunct faculty, and faculty applying for promotion may feel coercive pressure to take recommended action that is not in the best interest of their students, and</w:t>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bCs/>
        </w:rPr>
        <w:t>Whereas</w:t>
      </w:r>
      <w:r>
        <w:rPr>
          <w:rFonts w:ascii="Calibri" w:hAnsi="Calibri"/>
          <w:b w:val="false"/>
          <w:bCs w:val="false"/>
        </w:rPr>
        <w:t xml:space="preserve"> the academic departments at Ammerman exercised their collective responsibility to educate our students and maintain institutional academic standards, and </w:t>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bCs/>
        </w:rPr>
        <w:t>Whereas</w:t>
      </w:r>
      <w:r>
        <w:rPr>
          <w:rFonts w:ascii="Calibri" w:hAnsi="Calibri"/>
          <w:b w:val="false"/>
          <w:bCs w:val="false"/>
        </w:rPr>
        <w:t xml:space="preserve"> individual instructors have demonstrated empathy for the plight of individual students and their families who have been impacted by the health crisis, therefore be it</w:t>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bCs/>
        </w:rPr>
        <w:t>Resolved</w:t>
      </w:r>
      <w:r>
        <w:rPr>
          <w:rFonts w:ascii="Calibri" w:hAnsi="Calibri"/>
          <w:b w:val="false"/>
          <w:bCs w:val="false"/>
        </w:rPr>
        <w:t>, that the Grant campus Academic Assembly joins our colleagues at Ammerman as College faculty calling for timely consultation to formulate the academic policies that will help our students succeed in the challenging times ahead, and be it further</w:t>
      </w:r>
    </w:p>
    <w:p>
      <w:pPr>
        <w:pStyle w:val="Normal"/>
        <w:rPr>
          <w:rFonts w:ascii="Calibri" w:hAnsi="Calibri"/>
          <w:b w:val="false"/>
          <w:b w:val="false"/>
          <w:bCs w:val="false"/>
        </w:rPr>
      </w:pPr>
      <w:r>
        <w:rPr>
          <w:rFonts w:ascii="Calibri" w:hAnsi="Calibri"/>
          <w:b w:val="false"/>
          <w:bCs w:val="false"/>
        </w:rPr>
      </w:r>
    </w:p>
    <w:p>
      <w:pPr>
        <w:pStyle w:val="Normal"/>
        <w:rPr>
          <w:rFonts w:ascii="Calibri" w:hAnsi="Calibri"/>
          <w:b w:val="false"/>
          <w:b w:val="false"/>
          <w:bCs w:val="false"/>
        </w:rPr>
      </w:pPr>
      <w:r>
        <w:rPr>
          <w:rFonts w:ascii="Calibri" w:hAnsi="Calibri"/>
          <w:b w:val="false"/>
          <w:bCs w:val="false"/>
        </w:rPr>
      </w:r>
    </w:p>
    <w:p>
      <w:pPr>
        <w:pStyle w:val="Normal"/>
        <w:widowControl/>
        <w:bidi w:val="0"/>
        <w:spacing w:before="0" w:after="120"/>
        <w:ind w:left="0" w:right="0" w:hanging="720"/>
        <w:jc w:val="both"/>
        <w:rPr>
          <w:rFonts w:ascii="Calibri" w:hAnsi="Calibri"/>
          <w:b w:val="false"/>
          <w:b w:val="false"/>
          <w:bCs w:val="false"/>
        </w:rPr>
      </w:pPr>
      <w:r>
        <w:rPr>
          <w:rFonts w:ascii="Calibri" w:hAnsi="Calibri"/>
          <w:b w:val="false"/>
          <w:bCs w:val="false"/>
          <w:sz w:val="24"/>
          <w:szCs w:val="24"/>
        </w:rPr>
        <w:tab/>
      </w:r>
      <w:r>
        <w:rPr>
          <w:rFonts w:ascii="Calibri" w:hAnsi="Calibri"/>
          <w:b/>
          <w:bCs/>
          <w:sz w:val="24"/>
          <w:szCs w:val="24"/>
        </w:rPr>
        <w:t>Resolved</w:t>
      </w:r>
      <w:r>
        <w:rPr>
          <w:rFonts w:ascii="Calibri" w:hAnsi="Calibri"/>
          <w:b w:val="false"/>
          <w:bCs w:val="false"/>
          <w:sz w:val="24"/>
          <w:szCs w:val="24"/>
        </w:rPr>
        <w:t>, that the Grant campus Academic Assembly joins the undersigned in the aforementioned letter dated May 8, 2020.</w:t>
      </w:r>
    </w:p>
    <w:p>
      <w:pPr>
        <w:pStyle w:val="Normal"/>
        <w:widowControl/>
        <w:bidi w:val="0"/>
        <w:spacing w:before="0" w:after="12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r>
      <w:r>
        <w:rPr>
          <w:rFonts w:ascii="Calibri" w:hAnsi="Calibri"/>
          <w:sz w:val="24"/>
          <w:szCs w:val="24"/>
        </w:rPr>
        <w:t>Failed quorum</w:t>
      </w:r>
      <w:r>
        <w:rPr>
          <w:rFonts w:ascii="Calibri" w:hAnsi="Calibri"/>
          <w:sz w:val="24"/>
          <w:szCs w:val="24"/>
        </w:rPr>
        <w:t xml:space="preserve"> in </w:t>
      </w:r>
      <w:r>
        <w:rPr>
          <w:rFonts w:ascii="Calibri" w:hAnsi="Calibri"/>
          <w:sz w:val="24"/>
          <w:szCs w:val="24"/>
        </w:rPr>
        <w:t xml:space="preserve">an online vote </w:t>
      </w:r>
      <w:r>
        <w:rPr>
          <w:rFonts w:ascii="Calibri" w:hAnsi="Calibri"/>
          <w:sz w:val="24"/>
          <w:szCs w:val="24"/>
        </w:rPr>
        <w:t xml:space="preserve">open between May 18 and </w:t>
      </w:r>
      <w:r>
        <w:rPr>
          <w:rFonts w:ascii="Calibri" w:hAnsi="Calibri"/>
          <w:sz w:val="24"/>
          <w:szCs w:val="24"/>
        </w:rPr>
        <w:t xml:space="preserve">May </w:t>
      </w:r>
      <w:r>
        <w:rPr>
          <w:rFonts w:ascii="Calibri" w:hAnsi="Calibri"/>
          <w:sz w:val="24"/>
          <w:szCs w:val="24"/>
        </w:rPr>
        <w:t>22,</w:t>
      </w:r>
      <w:r>
        <w:rPr>
          <w:rFonts w:ascii="Calibri" w:hAnsi="Calibri"/>
          <w:sz w:val="24"/>
          <w:szCs w:val="24"/>
        </w:rPr>
        <w:t xml:space="preserve"> 2020</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 w:type="paragraph" w:styleId="Footnotetext">
    <w:name w:val="footnote text"/>
    <w:basedOn w:val="Normal"/>
    <w:qFormat/>
    <w:pPr/>
    <w:rPr>
      <w:sz w:val="22"/>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LibreOffice/5.2.7.2$Linux_X86_64 LibreOffice_project/20m0$Build-2</Application>
  <Pages>2</Pages>
  <Words>307</Words>
  <Characters>1738</Characters>
  <CharactersWithSpaces>2031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2020-05-26T21:19:40Z</dcterms:modified>
  <cp:revision>40</cp:revision>
  <dc:subject/>
  <dc:title/>
</cp:coreProperties>
</file>