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y" w:hAnsi="Calibry"/>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115" w:right="0" w:hanging="0"/>
        <w:jc w:val="center"/>
        <w:rPr>
          <w:rFonts w:ascii="Calibry" w:hAnsi="Calibry"/>
        </w:rPr>
      </w:pPr>
      <w:r>
        <w:rPr>
          <w:rFonts w:ascii="Calibry" w:hAnsi="Calibry"/>
          <w:sz w:val="26"/>
          <w:szCs w:val="26"/>
        </w:rPr>
        <w:t>County Community College</w:t>
        <w:br/>
        <w:t xml:space="preserve">Michael J. Grant Campus </w:t>
      </w:r>
    </w:p>
    <w:p>
      <w:pPr>
        <w:pStyle w:val="Normal"/>
        <w:jc w:val="center"/>
        <w:rPr>
          <w:rFonts w:ascii="Calibry" w:hAnsi="Calibry"/>
        </w:rPr>
      </w:pPr>
      <w:r>
        <w:rPr>
          <w:rFonts w:ascii="Calibry" w:hAnsi="Calibry"/>
          <w:sz w:val="48"/>
          <w:szCs w:val="48"/>
        </w:rPr>
        <w:t>Academic Assembly</w:t>
      </w:r>
    </w:p>
    <w:p>
      <w:pPr>
        <w:pStyle w:val="Normal"/>
        <w:jc w:val="center"/>
        <w:rPr>
          <w:rFonts w:ascii="Calibry" w:hAnsi="Calibry"/>
        </w:rPr>
      </w:pPr>
      <w:r>
        <w:rPr>
          <w:rFonts w:ascii="Calibry" w:hAnsi="Calibry"/>
          <w:b/>
          <w:bCs/>
          <w:sz w:val="24"/>
          <w:szCs w:val="24"/>
        </w:rPr>
        <w:t>Resolution 2019-09 [07]</w:t>
      </w:r>
    </w:p>
    <w:p>
      <w:pPr>
        <w:pStyle w:val="Normal"/>
        <w:jc w:val="center"/>
        <w:rPr>
          <w:b/>
          <w:b/>
          <w:bCs/>
          <w:sz w:val="24"/>
          <w:szCs w:val="24"/>
        </w:rPr>
      </w:pPr>
      <w:r>
        <w:rPr>
          <w:b/>
          <w:bCs/>
          <w:sz w:val="24"/>
          <w:szCs w:val="24"/>
        </w:rPr>
      </w:r>
    </w:p>
    <w:p>
      <w:pPr>
        <w:pStyle w:val="Normal"/>
        <w:jc w:val="center"/>
        <w:rPr>
          <w:rFonts w:ascii="Calibry" w:hAnsi="Calibry"/>
        </w:rPr>
      </w:pPr>
      <w:bookmarkStart w:id="0" w:name="__DdeLink__2284_216306462"/>
      <w:r>
        <w:rPr>
          <w:rFonts w:ascii="Calibry" w:hAnsi="Calibry"/>
          <w:b/>
          <w:bCs/>
          <w:sz w:val="28"/>
          <w:szCs w:val="28"/>
        </w:rPr>
        <w:t xml:space="preserve">Calling for </w:t>
      </w:r>
    </w:p>
    <w:p>
      <w:pPr>
        <w:pStyle w:val="Normal"/>
        <w:jc w:val="center"/>
        <w:rPr>
          <w:rFonts w:ascii="Calibry" w:hAnsi="Calibry"/>
        </w:rPr>
      </w:pPr>
      <w:r>
        <w:rPr>
          <w:rFonts w:ascii="Calibry" w:hAnsi="Calibry"/>
          <w:b/>
          <w:bCs/>
          <w:sz w:val="28"/>
          <w:szCs w:val="28"/>
        </w:rPr>
        <w:t xml:space="preserve">the Participation of Non-tenure-track Faculty </w:t>
      </w:r>
    </w:p>
    <w:p>
      <w:pPr>
        <w:pStyle w:val="Normal"/>
        <w:jc w:val="center"/>
        <w:rPr>
          <w:b/>
          <w:b/>
          <w:bCs/>
          <w:sz w:val="22"/>
          <w:szCs w:val="22"/>
        </w:rPr>
      </w:pPr>
      <w:bookmarkStart w:id="1" w:name="__DdeLink__2284_216306462"/>
      <w:bookmarkStart w:id="2" w:name="__DdeLink__2737_928101098"/>
      <w:bookmarkEnd w:id="2"/>
      <w:bookmarkEnd w:id="1"/>
      <w:r>
        <w:rPr>
          <w:rFonts w:ascii="Calibry" w:hAnsi="Calibry"/>
          <w:b/>
          <w:bCs/>
          <w:sz w:val="28"/>
          <w:szCs w:val="28"/>
        </w:rPr>
        <w:t>in Faculty Governance</w:t>
      </w:r>
    </w:p>
    <w:p>
      <w:pPr>
        <w:pStyle w:val="Normal"/>
        <w:jc w:val="center"/>
        <w:rPr>
          <w:rFonts w:ascii="Calibry" w:hAnsi="Calibry"/>
          <w:sz w:val="22"/>
          <w:szCs w:val="22"/>
        </w:rPr>
      </w:pPr>
      <w:r>
        <w:rPr>
          <w:rFonts w:ascii="Calibry" w:hAnsi="Calibry"/>
          <w:sz w:val="22"/>
          <w:szCs w:val="22"/>
        </w:rPr>
      </w:r>
    </w:p>
    <w:p>
      <w:pPr>
        <w:pStyle w:val="Normal"/>
        <w:widowControl/>
        <w:bidi w:val="0"/>
        <w:spacing w:before="0" w:after="240"/>
        <w:ind w:left="0" w:right="0" w:hanging="720"/>
        <w:jc w:val="left"/>
        <w:rPr>
          <w:rFonts w:ascii="Calibry" w:hAnsi="Calibry"/>
        </w:rPr>
      </w:pPr>
      <w:r>
        <w:rPr>
          <w:rFonts w:ascii="Calibry" w:hAnsi="Calibry"/>
          <w:b/>
          <w:bCs/>
          <w:sz w:val="22"/>
          <w:szCs w:val="22"/>
        </w:rPr>
        <w:tab/>
        <w:t>Whereas</w:t>
      </w:r>
      <w:r>
        <w:rPr>
          <w:rFonts w:ascii="Calibry" w:hAnsi="Calibry"/>
          <w:sz w:val="22"/>
          <w:szCs w:val="22"/>
        </w:rPr>
        <w:t xml:space="preserve"> the primary function of faculty governance at institutions of higher learning is to promote the principles of academic freedom and the purview of the faculty over the curriculum and academic standards, and</w:t>
      </w:r>
    </w:p>
    <w:p>
      <w:pPr>
        <w:pStyle w:val="Normal"/>
        <w:widowControl/>
        <w:bidi w:val="0"/>
        <w:spacing w:before="0" w:after="240"/>
        <w:ind w:left="0" w:right="0" w:hanging="720"/>
        <w:jc w:val="left"/>
        <w:rPr>
          <w:rFonts w:ascii="Calibry" w:hAnsi="Calibry"/>
        </w:rPr>
      </w:pPr>
      <w:r>
        <w:rPr>
          <w:rFonts w:ascii="Calibry" w:hAnsi="Calibry"/>
          <w:b/>
          <w:bCs/>
          <w:sz w:val="22"/>
          <w:szCs w:val="22"/>
        </w:rPr>
        <w:tab/>
        <w:t>Whereas</w:t>
      </w:r>
      <w:r>
        <w:rPr>
          <w:rFonts w:ascii="Calibry" w:hAnsi="Calibry"/>
          <w:sz w:val="22"/>
          <w:szCs w:val="22"/>
        </w:rPr>
        <w:t xml:space="preserve"> most of the course sections offered at the Grant</w:t>
      </w:r>
      <w:bookmarkStart w:id="3" w:name="_GoBack"/>
      <w:bookmarkEnd w:id="3"/>
      <w:r>
        <w:rPr>
          <w:rFonts w:ascii="Calibry" w:hAnsi="Calibry"/>
          <w:sz w:val="22"/>
          <w:szCs w:val="22"/>
        </w:rPr>
        <w:t xml:space="preserve"> Campus of Suffolk County Community College are taught by adjunct, non-tenure-track faculty,</w:t>
      </w:r>
      <w:r>
        <w:rPr>
          <w:rStyle w:val="FootnoteAnchor"/>
          <w:rFonts w:ascii="Calibry" w:hAnsi="Calibry"/>
          <w:sz w:val="22"/>
          <w:szCs w:val="22"/>
        </w:rPr>
        <w:footnoteReference w:id="2"/>
      </w:r>
      <w:r>
        <w:rPr>
          <w:rFonts w:ascii="Calibry" w:hAnsi="Calibry"/>
          <w:sz w:val="22"/>
          <w:szCs w:val="22"/>
        </w:rPr>
        <w:t xml:space="preserve"> and</w:t>
      </w:r>
    </w:p>
    <w:p>
      <w:pPr>
        <w:pStyle w:val="Normal"/>
        <w:widowControl/>
        <w:bidi w:val="0"/>
        <w:spacing w:before="0" w:after="240"/>
        <w:ind w:left="0" w:right="0" w:hanging="720"/>
        <w:jc w:val="left"/>
        <w:rPr>
          <w:rFonts w:ascii="Calibry" w:hAnsi="Calibry"/>
        </w:rPr>
      </w:pPr>
      <w:r>
        <w:rPr>
          <w:rFonts w:ascii="Calibry" w:hAnsi="Calibry"/>
          <w:b/>
          <w:bCs/>
          <w:sz w:val="22"/>
          <w:szCs w:val="22"/>
        </w:rPr>
        <w:tab/>
        <w:t>Whereas</w:t>
      </w:r>
      <w:r>
        <w:rPr>
          <w:rFonts w:ascii="Calibry" w:hAnsi="Calibry"/>
          <w:sz w:val="22"/>
          <w:szCs w:val="22"/>
        </w:rPr>
        <w:t xml:space="preserve"> the American Association of University Professors has set forth the following principles</w:t>
      </w:r>
      <w:r>
        <w:rPr>
          <w:rStyle w:val="FootnoteAnchor"/>
          <w:rFonts w:ascii="Calibry" w:hAnsi="Calibry"/>
          <w:sz w:val="22"/>
          <w:szCs w:val="22"/>
        </w:rPr>
        <w:footnoteReference w:id="3"/>
      </w:r>
      <w:r>
        <w:rPr>
          <w:rFonts w:ascii="Calibry" w:hAnsi="Calibry"/>
          <w:sz w:val="22"/>
          <w:szCs w:val="22"/>
        </w:rPr>
        <w:t>:</w:t>
      </w:r>
    </w:p>
    <w:p>
      <w:pPr>
        <w:pStyle w:val="Normal"/>
        <w:numPr>
          <w:ilvl w:val="0"/>
          <w:numId w:val="1"/>
        </w:numPr>
        <w:spacing w:beforeAutospacing="1" w:afterAutospacing="1"/>
        <w:rPr>
          <w:sz w:val="21"/>
          <w:szCs w:val="21"/>
        </w:rPr>
      </w:pPr>
      <w:r>
        <w:rPr>
          <w:rFonts w:ascii="Calibry" w:hAnsi="Calibry"/>
          <w:sz w:val="21"/>
          <w:szCs w:val="21"/>
        </w:rPr>
        <w:t>“</w:t>
      </w:r>
      <w:r>
        <w:rPr>
          <w:rFonts w:ascii="Calibry" w:hAnsi="Calibry"/>
          <w:sz w:val="21"/>
          <w:szCs w:val="21"/>
        </w:rPr>
        <w:t>Faculty” should be defined inclusively rather than exclusively; faculty status should not be limited to those holding tenured or tenure-track appointments.</w:t>
      </w:r>
    </w:p>
    <w:p>
      <w:pPr>
        <w:pStyle w:val="Normal"/>
        <w:numPr>
          <w:ilvl w:val="0"/>
          <w:numId w:val="1"/>
        </w:numPr>
        <w:spacing w:beforeAutospacing="1" w:afterAutospacing="1"/>
        <w:rPr>
          <w:sz w:val="21"/>
          <w:szCs w:val="21"/>
        </w:rPr>
      </w:pPr>
      <w:r>
        <w:rPr>
          <w:rFonts w:ascii="Calibry" w:hAnsi="Calibry"/>
          <w:sz w:val="21"/>
          <w:szCs w:val="21"/>
        </w:rPr>
        <w:t>Faculty members who hold contingent appointments should be afforded responsibilities and opportunities in governance similar to those of their tenured and tenure-track colleagues.</w:t>
      </w:r>
    </w:p>
    <w:p>
      <w:pPr>
        <w:pStyle w:val="Normal"/>
        <w:numPr>
          <w:ilvl w:val="0"/>
          <w:numId w:val="1"/>
        </w:numPr>
        <w:spacing w:beforeAutospacing="1" w:afterAutospacing="1"/>
        <w:rPr>
          <w:sz w:val="21"/>
          <w:szCs w:val="21"/>
        </w:rPr>
      </w:pPr>
      <w:r>
        <w:rPr>
          <w:rFonts w:ascii="Calibry" w:hAnsi="Calibry"/>
          <w:sz w:val="21"/>
          <w:szCs w:val="21"/>
        </w:rPr>
        <w:t>Faculty governance must be exercised to be real.</w:t>
      </w:r>
    </w:p>
    <w:p>
      <w:pPr>
        <w:pStyle w:val="Normal"/>
        <w:numPr>
          <w:ilvl w:val="0"/>
          <w:numId w:val="1"/>
        </w:numPr>
        <w:spacing w:beforeAutospacing="1" w:afterAutospacing="1"/>
        <w:rPr>
          <w:sz w:val="21"/>
          <w:szCs w:val="21"/>
        </w:rPr>
      </w:pPr>
      <w:r>
        <w:rPr>
          <w:rFonts w:ascii="Calibry" w:hAnsi="Calibry"/>
          <w:sz w:val="21"/>
          <w:szCs w:val="21"/>
        </w:rPr>
        <w:t>Academic freedom and governance reinforce each other. While governance work helps to support faculty status, a secure faculty is a prerequisite for free participation in governance.</w:t>
      </w:r>
    </w:p>
    <w:p>
      <w:pPr>
        <w:pStyle w:val="Normal"/>
        <w:numPr>
          <w:ilvl w:val="0"/>
          <w:numId w:val="1"/>
        </w:numPr>
        <w:spacing w:beforeAutospacing="1" w:afterAutospacing="1"/>
        <w:rPr>
          <w:rFonts w:ascii="Calibry" w:hAnsi="Calibry"/>
        </w:rPr>
      </w:pPr>
      <w:r>
        <w:rPr>
          <w:rFonts w:ascii="Calibry" w:hAnsi="Calibry"/>
          <w:sz w:val="21"/>
          <w:szCs w:val="21"/>
        </w:rPr>
        <w:t>All faculty members should be afforded academic freedom and due-process protections, whether they hold tenured, tenure-track, or contingent appointments; and</w:t>
      </w:r>
    </w:p>
    <w:p>
      <w:pPr>
        <w:pStyle w:val="Normal"/>
        <w:numPr>
          <w:ilvl w:val="0"/>
          <w:numId w:val="0"/>
        </w:numPr>
        <w:spacing w:beforeAutospacing="1" w:afterAutospacing="1"/>
        <w:ind w:left="720" w:hanging="0"/>
        <w:rPr>
          <w:sz w:val="21"/>
          <w:szCs w:val="21"/>
        </w:rPr>
      </w:pPr>
      <w:r>
        <w:rPr>
          <w:sz w:val="21"/>
          <w:szCs w:val="21"/>
        </w:rPr>
      </w:r>
    </w:p>
    <w:p>
      <w:pPr>
        <w:pStyle w:val="Normal"/>
        <w:widowControl/>
        <w:bidi w:val="0"/>
        <w:spacing w:before="0" w:after="240"/>
        <w:ind w:left="0" w:right="0" w:hanging="720"/>
        <w:jc w:val="left"/>
        <w:rPr>
          <w:sz w:val="22"/>
          <w:szCs w:val="22"/>
        </w:rPr>
      </w:pPr>
      <w:r>
        <w:rPr>
          <w:rFonts w:ascii="Calibry" w:hAnsi="Calibry"/>
          <w:b/>
          <w:bCs/>
          <w:sz w:val="22"/>
          <w:szCs w:val="22"/>
        </w:rPr>
        <w:tab/>
        <w:t>Whereas</w:t>
      </w:r>
      <w:r>
        <w:rPr>
          <w:rFonts w:ascii="Calibry" w:hAnsi="Calibry"/>
          <w:sz w:val="22"/>
          <w:szCs w:val="22"/>
        </w:rPr>
        <w:t xml:space="preserve"> many colleges and universities have implemented policies and procedures that allow for the participation of adjunct, non-tenure-track faculty in faculty governance; be it therefore,</w:t>
      </w:r>
    </w:p>
    <w:p>
      <w:pPr>
        <w:pStyle w:val="Normal"/>
        <w:spacing w:before="0" w:after="240"/>
        <w:ind w:left="720" w:hanging="720"/>
        <w:rPr>
          <w:rFonts w:ascii="Calibry" w:hAnsi="Calibry"/>
          <w:sz w:val="22"/>
          <w:szCs w:val="22"/>
        </w:rPr>
      </w:pPr>
      <w:r>
        <w:rPr>
          <w:rFonts w:ascii="Calibry" w:hAnsi="Calibry"/>
          <w:sz w:val="22"/>
          <w:szCs w:val="22"/>
        </w:rPr>
      </w:r>
    </w:p>
    <w:p>
      <w:pPr>
        <w:pStyle w:val="Normal"/>
        <w:widowControl/>
        <w:bidi w:val="0"/>
        <w:spacing w:before="0" w:after="240"/>
        <w:ind w:left="0" w:right="0" w:hanging="720"/>
        <w:jc w:val="both"/>
        <w:rPr>
          <w:rFonts w:ascii="Calibry" w:hAnsi="Calibry"/>
        </w:rPr>
      </w:pPr>
      <w:r>
        <w:rPr>
          <w:rFonts w:ascii="Calibry" w:hAnsi="Calibry"/>
          <w:b/>
          <w:bCs/>
          <w:sz w:val="22"/>
          <w:szCs w:val="22"/>
        </w:rPr>
        <w:tab/>
        <w:t>Resolved</w:t>
      </w:r>
      <w:r>
        <w:rPr>
          <w:rFonts w:ascii="Calibry" w:hAnsi="Calibry"/>
          <w:sz w:val="22"/>
          <w:szCs w:val="22"/>
        </w:rPr>
        <w:t xml:space="preserve"> that the Grant Campus Academic Assembly affirms the importance of vibrant and active faculty governance for the shared governance of the College, and be it further</w:t>
      </w:r>
    </w:p>
    <w:p>
      <w:pPr>
        <w:pStyle w:val="Normal"/>
        <w:widowControl/>
        <w:bidi w:val="0"/>
        <w:spacing w:before="0" w:after="240"/>
        <w:ind w:left="0" w:right="0" w:hanging="720"/>
        <w:jc w:val="both"/>
        <w:rPr>
          <w:rFonts w:ascii="Calibry" w:hAnsi="Calibry"/>
        </w:rPr>
      </w:pPr>
      <w:r>
        <w:rPr>
          <w:rFonts w:ascii="Calibry" w:hAnsi="Calibry"/>
          <w:b/>
          <w:bCs/>
          <w:sz w:val="22"/>
          <w:szCs w:val="22"/>
        </w:rPr>
        <w:tab/>
        <w:t>Resolved</w:t>
      </w:r>
      <w:r>
        <w:rPr>
          <w:rFonts w:ascii="Calibry" w:hAnsi="Calibry"/>
          <w:sz w:val="22"/>
          <w:szCs w:val="22"/>
        </w:rPr>
        <w:t xml:space="preserve"> that the Grant Campus Academic Assembly affirms that the organs of faculty governance should be as inclusive as is practicable, and be it further</w:t>
      </w:r>
    </w:p>
    <w:p>
      <w:pPr>
        <w:pStyle w:val="Normal"/>
        <w:widowControl/>
        <w:bidi w:val="0"/>
        <w:spacing w:before="0" w:after="240"/>
        <w:ind w:left="0" w:right="0" w:hanging="720"/>
        <w:jc w:val="both"/>
        <w:rPr>
          <w:rFonts w:ascii="Calibry" w:hAnsi="Calibry"/>
        </w:rPr>
      </w:pPr>
      <w:r>
        <w:rPr>
          <w:rFonts w:ascii="Calibry" w:hAnsi="Calibry"/>
          <w:b/>
          <w:bCs/>
          <w:sz w:val="22"/>
          <w:szCs w:val="22"/>
        </w:rPr>
        <w:tab/>
        <w:t>Resolved</w:t>
      </w:r>
      <w:r>
        <w:rPr>
          <w:rFonts w:ascii="Calibry" w:hAnsi="Calibry"/>
          <w:sz w:val="22"/>
          <w:szCs w:val="22"/>
        </w:rPr>
        <w:t xml:space="preserve"> that the Grant Campus Academic Assembly affirms the professional status of our colleagues among the adjunct, non-tenure-track faculty, and be it further</w:t>
      </w:r>
    </w:p>
    <w:p>
      <w:pPr>
        <w:pStyle w:val="Normal"/>
        <w:widowControl/>
        <w:bidi w:val="0"/>
        <w:spacing w:before="0" w:after="240"/>
        <w:ind w:left="0" w:right="0" w:hanging="720"/>
        <w:jc w:val="both"/>
        <w:rPr>
          <w:rFonts w:ascii="Calibry" w:hAnsi="Calibry"/>
        </w:rPr>
      </w:pPr>
      <w:r>
        <w:rPr>
          <w:rFonts w:ascii="Calibry" w:hAnsi="Calibry"/>
          <w:b/>
          <w:bCs/>
          <w:sz w:val="22"/>
          <w:szCs w:val="22"/>
        </w:rPr>
        <w:tab/>
        <w:t>Resolved</w:t>
      </w:r>
      <w:r>
        <w:rPr>
          <w:rFonts w:ascii="Calibry" w:hAnsi="Calibry"/>
          <w:sz w:val="22"/>
          <w:szCs w:val="22"/>
        </w:rPr>
        <w:t xml:space="preserve"> that the Grant Campus Academic Assembly directs the Executive Committee (or an ad hoc committee appointed thereby) to begin investigating practicable models for the participation of adjunct, non-tenure-track faculty in the Academic Assembly and its committees, and be it further</w:t>
      </w:r>
    </w:p>
    <w:p>
      <w:pPr>
        <w:pStyle w:val="Normal"/>
        <w:widowControl/>
        <w:bidi w:val="0"/>
        <w:spacing w:before="0" w:after="240"/>
        <w:ind w:left="0" w:right="0" w:hanging="720"/>
        <w:jc w:val="both"/>
        <w:rPr>
          <w:rFonts w:ascii="Calibry" w:hAnsi="Calibry"/>
        </w:rPr>
      </w:pPr>
      <w:r>
        <w:rPr>
          <w:rFonts w:ascii="Calibry" w:hAnsi="Calibry"/>
          <w:b/>
          <w:bCs/>
          <w:sz w:val="22"/>
          <w:szCs w:val="22"/>
        </w:rPr>
        <w:tab/>
        <w:t>Resolved</w:t>
      </w:r>
      <w:r>
        <w:rPr>
          <w:rFonts w:ascii="Calibry" w:hAnsi="Calibry"/>
          <w:sz w:val="22"/>
          <w:szCs w:val="22"/>
        </w:rPr>
        <w:t xml:space="preserve"> that the Executive Committee shall draft and propose for the Assembly’s consideration amendments to the Assembly Constitution to allow for said participation of adjunct, non-tenure-track faculty.</w:t>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spacing w:before="0" w:after="200"/>
        <w:ind w:left="720" w:hanging="720"/>
        <w:rPr/>
      </w:pPr>
      <w:r>
        <w:rPr>
          <w:rFonts w:ascii="Calibry" w:hAnsi="Calibry"/>
          <w:sz w:val="22"/>
          <w:szCs w:val="22"/>
        </w:rPr>
        <w:t xml:space="preserve">Passed [43-4-2] </w:t>
      </w:r>
      <w:r>
        <w:rPr>
          <w:rFonts w:ascii="Calibry" w:hAnsi="Calibry"/>
          <w:sz w:val="22"/>
          <w:szCs w:val="22"/>
        </w:rPr>
        <w:t>on</w:t>
      </w:r>
      <w:r>
        <w:rPr>
          <w:rFonts w:ascii="Calibry" w:hAnsi="Calibry"/>
          <w:sz w:val="22"/>
          <w:szCs w:val="22"/>
        </w:rPr>
        <w:t xml:space="preserve"> October 1, 2019</w:t>
      </w:r>
    </w:p>
    <w:sectPr>
      <w:headerReference w:type="default" r:id="rId3"/>
      <w:footnotePr>
        <w:numFmt w:val="decimal"/>
      </w:footnotePr>
      <w:type w:val="nextPage"/>
      <w:pgSz w:w="12240" w:h="15840"/>
      <w:pgMar w:left="1152" w:right="1152" w:header="720" w:top="1152" w:footer="0" w:bottom="1152"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eorgia">
    <w:charset w:val="01"/>
    <w:family w:val="roman"/>
    <w:pitch w:val="variable"/>
  </w:font>
  <w:font w:name="Liberation Sans">
    <w:altName w:val="Arial"/>
    <w:charset w:val="01"/>
    <w:family w:val="roman"/>
    <w:pitch w:val="variable"/>
  </w:font>
  <w:font w:name="Calibry">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spacing w:before="0" w:after="120"/>
        <w:rPr/>
      </w:pPr>
      <w:r>
        <w:rPr>
          <w:rStyle w:val="Footnotereference"/>
          <w:sz w:val="20"/>
        </w:rPr>
        <w:footnoteRef/>
        <w:tab/>
      </w:r>
      <w:r>
        <w:rPr>
          <w:sz w:val="20"/>
        </w:rPr>
        <w:t xml:space="preserve"> </w:t>
      </w:r>
      <w:r>
        <w:rPr>
          <w:sz w:val="20"/>
        </w:rPr>
        <w:t xml:space="preserve">According to OPIE’s Faculty Workload Reports for Fall 2016 (the latest available on the College website: </w:t>
      </w:r>
      <w:hyperlink r:id="rId1">
        <w:r>
          <w:rPr>
            <w:rStyle w:val="InternetLink"/>
            <w:sz w:val="20"/>
          </w:rPr>
          <w:t>https://www.sunysuffolk.edu/about-suffolk/office-of-planning-and-institutional-effectiveness/faculty-workload-report.jsp</w:t>
        </w:r>
      </w:hyperlink>
      <w:r>
        <w:rPr>
          <w:sz w:val="20"/>
        </w:rPr>
        <w:t xml:space="preserve">), 31.7% of the total sections offered at the Grant Campus were part of the regular load of fulltime faculty, 13.8% were fulltime overload sections, and </w:t>
      </w:r>
      <w:r>
        <w:rPr>
          <w:sz w:val="20"/>
          <w:u w:val="single"/>
        </w:rPr>
        <w:t>54.5%</w:t>
      </w:r>
      <w:r>
        <w:rPr>
          <w:sz w:val="20"/>
        </w:rPr>
        <w:t xml:space="preserve"> were taught by adjunct faculty.</w:t>
      </w:r>
    </w:p>
  </w:footnote>
  <w:footnote w:id="3">
    <w:p>
      <w:pPr>
        <w:pStyle w:val="Footnotetext"/>
        <w:widowControl/>
        <w:bidi w:val="0"/>
        <w:spacing w:before="0" w:after="120"/>
        <w:jc w:val="left"/>
        <w:rPr>
          <w:sz w:val="20"/>
        </w:rPr>
      </w:pPr>
      <w:r>
        <w:rPr>
          <w:rFonts w:eastAsia="Times New Roman" w:cs="Georgia"/>
          <w:sz w:val="20"/>
          <w:szCs w:val="20"/>
        </w:rPr>
        <w:footnoteRef/>
        <w:tab/>
        <w:t xml:space="preserve"> “</w:t>
      </w:r>
      <w:r>
        <w:rPr>
          <w:rFonts w:eastAsia="Times New Roman" w:cs="Georgia"/>
          <w:sz w:val="20"/>
          <w:szCs w:val="20"/>
        </w:rPr>
        <w:t>The Inclusion in Governance of Faculty Members Holding Contingent Appointments,” 2012 (https://www.aaup.org/report/inclusion-governance-faculty-members-holding-contingent-appointments).</w:t>
      </w:r>
    </w:p>
    <w:p>
      <w:pPr>
        <w:pStyle w:val="Footnotetext"/>
        <w:spacing w:before="0" w:after="12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2d1b"/>
    <w:pPr>
      <w:widowControl/>
      <w:bidi w:val="0"/>
      <w:jc w:val="left"/>
    </w:pPr>
    <w:rPr>
      <w:rFonts w:ascii="Georgia" w:hAnsi="Georgia" w:eastAsia="Times New Roman" w:cs="Georgia"/>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qFormat/>
    <w:rsid w:val="00c777f3"/>
    <w:rPr>
      <w:rFonts w:ascii="Georgia" w:hAnsi="Georgia" w:eastAsia="Times New Roman" w:cs="Georgia"/>
      <w:sz w:val="22"/>
      <w:szCs w:val="20"/>
    </w:rPr>
  </w:style>
  <w:style w:type="character" w:styleId="Linenumber">
    <w:name w:val="line number"/>
    <w:basedOn w:val="DefaultParagraphFont"/>
    <w:uiPriority w:val="99"/>
    <w:semiHidden/>
    <w:unhideWhenUsed/>
    <w:qFormat/>
    <w:rsid w:val="00992bb6"/>
    <w:rPr>
      <w:rFonts w:ascii="Georgia" w:hAnsi="Georgia"/>
      <w:sz w:val="20"/>
    </w:rPr>
  </w:style>
  <w:style w:type="character" w:styleId="Footnotereference">
    <w:name w:val="footnote reference"/>
    <w:basedOn w:val="DefaultParagraphFont"/>
    <w:uiPriority w:val="99"/>
    <w:semiHidden/>
    <w:unhideWhenUsed/>
    <w:qFormat/>
    <w:rsid w:val="00f035b9"/>
    <w:rPr>
      <w:vertAlign w:val="superscript"/>
    </w:rPr>
  </w:style>
  <w:style w:type="character" w:styleId="InternetLink">
    <w:name w:val="Internet Link"/>
    <w:basedOn w:val="DefaultParagraphFont"/>
    <w:uiPriority w:val="99"/>
    <w:unhideWhenUsed/>
    <w:rsid w:val="00f035b9"/>
    <w:rPr>
      <w:color w:val="0563C1" w:themeColor="hyperlink"/>
      <w:u w:val="single"/>
    </w:rPr>
  </w:style>
  <w:style w:type="character" w:styleId="UnresolvedMention" w:customStyle="1">
    <w:name w:val="Unresolved Mention"/>
    <w:basedOn w:val="DefaultParagraphFont"/>
    <w:uiPriority w:val="99"/>
    <w:semiHidden/>
    <w:unhideWhenUsed/>
    <w:qFormat/>
    <w:rsid w:val="00f035b9"/>
    <w:rPr>
      <w:color w:val="605E5C"/>
      <w:shd w:fill="E1DFDD" w:val="clear"/>
    </w:rPr>
  </w:style>
  <w:style w:type="character" w:styleId="HeaderChar" w:customStyle="1">
    <w:name w:val="Header Char"/>
    <w:basedOn w:val="DefaultParagraphFont"/>
    <w:link w:val="Header"/>
    <w:uiPriority w:val="99"/>
    <w:qFormat/>
    <w:rsid w:val="00841ee6"/>
    <w:rPr>
      <w:rFonts w:ascii="Georgia" w:hAnsi="Georgia" w:eastAsia="Times New Roman" w:cs="Georgia"/>
    </w:rPr>
  </w:style>
  <w:style w:type="character" w:styleId="FooterChar" w:customStyle="1">
    <w:name w:val="Footer Char"/>
    <w:basedOn w:val="DefaultParagraphFont"/>
    <w:link w:val="Footer"/>
    <w:uiPriority w:val="99"/>
    <w:qFormat/>
    <w:rsid w:val="00841ee6"/>
    <w:rPr>
      <w:rFonts w:ascii="Georgia" w:hAnsi="Georgia" w:eastAsia="Times New Roman" w:cs="Georgia"/>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text">
    <w:name w:val="footnote text"/>
    <w:basedOn w:val="Normal"/>
    <w:link w:val="FootnoteTextChar"/>
    <w:autoRedefine/>
    <w:uiPriority w:val="99"/>
    <w:unhideWhenUsed/>
    <w:qFormat/>
    <w:rsid w:val="00c777f3"/>
    <w:pPr>
      <w:spacing w:before="0" w:after="120"/>
    </w:pPr>
    <w:rPr>
      <w:rFonts w:ascii="Calibry" w:hAnsi="Calibry"/>
      <w:sz w:val="22"/>
      <w:szCs w:val="20"/>
    </w:rPr>
  </w:style>
  <w:style w:type="paragraph" w:styleId="Longquote" w:customStyle="1">
    <w:name w:val="long quote"/>
    <w:basedOn w:val="Normal"/>
    <w:qFormat/>
    <w:rsid w:val="00992bb6"/>
    <w:pPr>
      <w:widowControl w:val="false"/>
      <w:shd w:val="clear" w:color="auto" w:fill="FFFFFF"/>
      <w:snapToGrid w:val="false"/>
      <w:spacing w:before="240" w:after="240"/>
      <w:ind w:left="720" w:hanging="0"/>
      <w:jc w:val="both"/>
    </w:pPr>
    <w:rPr>
      <w:rFonts w:eastAsia="" w:cs="Times New Roman" w:eastAsiaTheme="minorEastAsia"/>
      <w:color w:val="000000"/>
      <w:sz w:val="22"/>
      <w:szCs w:val="22"/>
    </w:rPr>
  </w:style>
  <w:style w:type="paragraph" w:styleId="Longquote1" w:customStyle="1">
    <w:name w:val="Long quote"/>
    <w:basedOn w:val="Normal"/>
    <w:qFormat/>
    <w:rsid w:val="00992bb6"/>
    <w:pPr>
      <w:widowControl w:val="false"/>
      <w:shd w:val="clear" w:color="auto" w:fill="FFFFFF"/>
      <w:snapToGrid w:val="false"/>
      <w:spacing w:lineRule="auto" w:line="276" w:before="240" w:after="240"/>
      <w:ind w:left="720" w:hanging="0"/>
      <w:jc w:val="both"/>
    </w:pPr>
    <w:rPr>
      <w:rFonts w:eastAsia="" w:cs="Times New Roman" w:eastAsiaTheme="minorEastAsia"/>
      <w:color w:val="000000"/>
      <w:sz w:val="22"/>
      <w:szCs w:val="22"/>
    </w:rPr>
  </w:style>
  <w:style w:type="paragraph" w:styleId="Header">
    <w:name w:val="Header"/>
    <w:basedOn w:val="Normal"/>
    <w:link w:val="HeaderChar"/>
    <w:uiPriority w:val="99"/>
    <w:unhideWhenUsed/>
    <w:rsid w:val="00841ee6"/>
    <w:pPr>
      <w:tabs>
        <w:tab w:val="center" w:pos="4680" w:leader="none"/>
        <w:tab w:val="right" w:pos="9360" w:leader="none"/>
      </w:tabs>
    </w:pPr>
    <w:rPr/>
  </w:style>
  <w:style w:type="paragraph" w:styleId="Footer">
    <w:name w:val="Footer"/>
    <w:basedOn w:val="Normal"/>
    <w:link w:val="FooterChar"/>
    <w:uiPriority w:val="99"/>
    <w:unhideWhenUsed/>
    <w:rsid w:val="00841ee6"/>
    <w:pPr>
      <w:tabs>
        <w:tab w:val="center" w:pos="4680" w:leader="none"/>
        <w:tab w:val="right" w:pos="9360" w:leader="none"/>
      </w:tabs>
    </w:pPr>
    <w:rPr/>
  </w:style>
  <w:style w:type="paragraph" w:styleId="Footnote">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sunysuffolk.edu/about-suffolk/office-of-planning-and-institutional-effectiveness/faculty-workload-report.j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92F6D-D36C-4FED-A598-F45DA7B0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LibreOffice/5.2.7.2$Linux_X86_64 LibreOffice_project/20m0$Build-2</Application>
  <Pages>2</Pages>
  <Words>430</Words>
  <Characters>2764</Characters>
  <CharactersWithSpaces>3178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2019-09-13T10:51:00Z</dcterms:created>
  <dc:creator>Marc Fellenz</dc:creator>
  <dc:description/>
  <dc:language>en-US</dc:language>
  <cp:lastModifiedBy/>
  <cp:lastPrinted>2019-09-08T14:35:00Z</cp:lastPrinted>
  <dcterms:modified xsi:type="dcterms:W3CDTF">2020-01-26T23:34:55Z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