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document.xml" ContentType="application/vnd.openxmlformats-officedocument.wordprocessingml.document.main+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drawing>
          <wp:inline distT="0" distB="0" distL="0" distR="0">
            <wp:extent cx="2538095" cy="715645"/>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2"/>
                    <a:stretch>
                      <a:fillRect/>
                    </a:stretch>
                  </pic:blipFill>
                  <pic:spPr bwMode="auto">
                    <a:xfrm>
                      <a:off x="0" y="0"/>
                      <a:ext cx="2538095" cy="715645"/>
                    </a:xfrm>
                    <a:prstGeom prst="rect">
                      <a:avLst/>
                    </a:prstGeom>
                  </pic:spPr>
                </pic:pic>
              </a:graphicData>
            </a:graphic>
          </wp:inline>
        </w:drawing>
      </w:r>
    </w:p>
    <w:p>
      <w:pPr>
        <w:pStyle w:val="Normal"/>
        <w:bidi w:val="0"/>
        <w:spacing w:lineRule="auto" w:line="240" w:before="0" w:after="202"/>
        <w:ind w:left="-115" w:right="0" w:hanging="0"/>
        <w:jc w:val="center"/>
        <w:rPr/>
      </w:pPr>
      <w:r>
        <w:rPr>
          <w:sz w:val="26"/>
          <w:szCs w:val="26"/>
        </w:rPr>
        <w:t>County Community College</w:t>
        <w:br/>
        <w:t xml:space="preserve">Michael J. Grant Campus </w:t>
      </w:r>
    </w:p>
    <w:p>
      <w:pPr>
        <w:pStyle w:val="Normal"/>
        <w:jc w:val="center"/>
        <w:rPr/>
      </w:pPr>
      <w:r>
        <w:rPr>
          <w:sz w:val="48"/>
          <w:szCs w:val="48"/>
        </w:rPr>
        <w:t>Academic Assembly</w:t>
      </w:r>
    </w:p>
    <w:p>
      <w:pPr>
        <w:pStyle w:val="Heading2"/>
        <w:jc w:val="center"/>
        <w:rPr/>
      </w:pPr>
      <w:r>
        <w:rPr>
          <w:b/>
          <w:bCs/>
          <w:sz w:val="24"/>
          <w:szCs w:val="24"/>
        </w:rPr>
        <w:t>Resolution 2019-02 [04]</w:t>
      </w:r>
    </w:p>
    <w:p>
      <w:pPr>
        <w:pStyle w:val="Normal"/>
        <w:jc w:val="center"/>
        <w:rPr/>
      </w:pPr>
      <w:r>
        <w:rPr>
          <w:rFonts w:ascii="Liberation Sans" w:hAnsi="Liberation Sans"/>
          <w:b/>
          <w:i w:val="false"/>
          <w:iCs w:val="false"/>
          <w:sz w:val="24"/>
          <w:szCs w:val="24"/>
        </w:rPr>
        <w:t xml:space="preserve">Approving Operations of Governance Coordinating Body </w:t>
      </w:r>
    </w:p>
    <w:p>
      <w:pPr>
        <w:pStyle w:val="Normal"/>
        <w:jc w:val="center"/>
        <w:rPr/>
      </w:pPr>
      <w:r>
        <w:rPr>
          <w:rFonts w:ascii="Liberation Sans" w:hAnsi="Liberation Sans"/>
          <w:b/>
          <w:i w:val="false"/>
          <w:iCs w:val="false"/>
          <w:sz w:val="24"/>
          <w:szCs w:val="24"/>
        </w:rPr>
        <w:t>for 2019-2020 Academic  Year</w:t>
      </w:r>
    </w:p>
    <w:p>
      <w:pPr>
        <w:pStyle w:val="Normal"/>
        <w:jc w:val="center"/>
        <w:rPr>
          <w:rFonts w:ascii="Liberation Sans" w:hAnsi="Liberation Sans"/>
          <w:b/>
          <w:b/>
          <w:i w:val="false"/>
          <w:i w:val="false"/>
          <w:iCs w:val="false"/>
          <w:sz w:val="24"/>
          <w:szCs w:val="24"/>
        </w:rPr>
      </w:pPr>
      <w:r>
        <w:rPr>
          <w:rFonts w:ascii="Liberation Sans" w:hAnsi="Liberation Sans"/>
          <w:b/>
          <w:i w:val="false"/>
          <w:iCs w:val="false"/>
          <w:sz w:val="24"/>
          <w:szCs w:val="24"/>
        </w:rPr>
      </w:r>
    </w:p>
    <w:p>
      <w:pPr>
        <w:pStyle w:val="Normal"/>
        <w:jc w:val="both"/>
        <w:rPr/>
      </w:pPr>
      <w:r>
        <w:rPr>
          <w:rFonts w:ascii="Liberation Sans" w:hAnsi="Liberation Sans"/>
          <w:b/>
          <w:bCs/>
          <w:sz w:val="22"/>
          <w:szCs w:val="22"/>
        </w:rPr>
        <w:t>Whereas</w:t>
      </w:r>
      <w:r>
        <w:rPr>
          <w:rFonts w:ascii="Liberation Sans" w:hAnsi="Liberation Sans"/>
          <w:sz w:val="22"/>
          <w:szCs w:val="22"/>
        </w:rPr>
        <w:t xml:space="preserve"> the operations of the College Governance Council were suspended in Spring 2017, leaving the faculty without a College-wide governance body; and</w:t>
      </w:r>
    </w:p>
    <w:p>
      <w:pPr>
        <w:pStyle w:val="Normal"/>
        <w:jc w:val="both"/>
        <w:rPr>
          <w:rFonts w:ascii="Liberation Sans" w:hAnsi="Liberation Sans"/>
          <w:sz w:val="22"/>
          <w:szCs w:val="22"/>
        </w:rPr>
      </w:pPr>
      <w:r>
        <w:rPr>
          <w:rFonts w:ascii="Liberation Sans" w:hAnsi="Liberation Sans"/>
          <w:b/>
          <w:bCs/>
          <w:sz w:val="22"/>
          <w:szCs w:val="22"/>
        </w:rPr>
        <w:t>Whereas</w:t>
      </w:r>
      <w:r>
        <w:rPr>
          <w:rFonts w:ascii="Liberation Sans" w:hAnsi="Liberation Sans"/>
          <w:sz w:val="22"/>
          <w:szCs w:val="22"/>
        </w:rPr>
        <w:t>, the Ammerman Senate, the Grant Assembly, and the Eastern Congress each passed resolutions at the end of Fall 2016 calling for the creation of a Task Force charged with developing a proposal for renewed tri-campus governance based on college-wide discussion and feedback; and</w:t>
      </w:r>
    </w:p>
    <w:p>
      <w:pPr>
        <w:pStyle w:val="Normal"/>
        <w:jc w:val="both"/>
        <w:rPr>
          <w:rFonts w:ascii="Liberation Sans" w:hAnsi="Liberation Sans"/>
          <w:sz w:val="22"/>
          <w:szCs w:val="22"/>
        </w:rPr>
      </w:pPr>
      <w:r>
        <w:rPr>
          <w:rFonts w:ascii="Liberation Sans" w:hAnsi="Liberation Sans"/>
          <w:b/>
          <w:bCs/>
          <w:sz w:val="22"/>
          <w:szCs w:val="22"/>
        </w:rPr>
        <w:t>Whereas</w:t>
      </w:r>
      <w:r>
        <w:rPr>
          <w:rFonts w:ascii="Liberation Sans" w:hAnsi="Liberation Sans"/>
          <w:sz w:val="22"/>
          <w:szCs w:val="22"/>
        </w:rPr>
        <w:t xml:space="preserve"> the Task Force delivered its proposal in Fall 2018; and</w:t>
      </w:r>
    </w:p>
    <w:p>
      <w:pPr>
        <w:pStyle w:val="Normal"/>
        <w:jc w:val="both"/>
        <w:rPr>
          <w:rFonts w:ascii="Liberation Sans" w:hAnsi="Liberation Sans"/>
          <w:sz w:val="22"/>
          <w:szCs w:val="22"/>
        </w:rPr>
      </w:pPr>
      <w:r>
        <w:rPr>
          <w:rFonts w:ascii="Liberation Sans" w:hAnsi="Liberation Sans"/>
          <w:b/>
          <w:bCs/>
          <w:sz w:val="22"/>
          <w:szCs w:val="22"/>
        </w:rPr>
        <w:t>Whereas</w:t>
      </w:r>
      <w:r>
        <w:rPr>
          <w:rFonts w:ascii="Liberation Sans" w:hAnsi="Liberation Sans"/>
          <w:sz w:val="22"/>
          <w:szCs w:val="22"/>
        </w:rPr>
        <w:t xml:space="preserve"> the faculty had the opportunity to review, discuss, and express their feedback on the proposal at a Blackboard forum, via survey, and at each campus governance body meetings; and</w:t>
      </w:r>
    </w:p>
    <w:p>
      <w:pPr>
        <w:pStyle w:val="Normal"/>
        <w:jc w:val="both"/>
        <w:rPr>
          <w:rFonts w:ascii="Liberation Sans" w:hAnsi="Liberation Sans"/>
          <w:sz w:val="22"/>
          <w:szCs w:val="22"/>
        </w:rPr>
      </w:pPr>
      <w:r>
        <w:rPr>
          <w:rFonts w:ascii="Liberation Sans" w:hAnsi="Liberation Sans"/>
          <w:b/>
          <w:bCs/>
          <w:sz w:val="22"/>
          <w:szCs w:val="22"/>
        </w:rPr>
        <w:t>Whereas</w:t>
      </w:r>
      <w:r>
        <w:rPr>
          <w:rFonts w:ascii="Liberation Sans" w:hAnsi="Liberation Sans"/>
          <w:sz w:val="22"/>
          <w:szCs w:val="22"/>
        </w:rPr>
        <w:t xml:space="preserve"> the faculty feedback affirmed the need for a formal structure supporting tri-campus collaboration and coordination; and</w:t>
      </w:r>
    </w:p>
    <w:p>
      <w:pPr>
        <w:pStyle w:val="Normal"/>
        <w:jc w:val="both"/>
        <w:rPr>
          <w:rFonts w:ascii="Liberation Sans" w:hAnsi="Liberation Sans"/>
          <w:sz w:val="22"/>
          <w:szCs w:val="22"/>
        </w:rPr>
      </w:pPr>
      <w:r>
        <w:rPr>
          <w:rFonts w:ascii="Liberation Sans" w:hAnsi="Liberation Sans"/>
          <w:b/>
          <w:bCs/>
          <w:sz w:val="22"/>
          <w:szCs w:val="22"/>
        </w:rPr>
        <w:t>Whereas</w:t>
      </w:r>
      <w:r>
        <w:rPr>
          <w:rFonts w:ascii="Liberation Sans" w:hAnsi="Liberation Sans"/>
          <w:sz w:val="22"/>
          <w:szCs w:val="22"/>
        </w:rPr>
        <w:t xml:space="preserve"> the faculty feedback suggested that the proposal may benefit from further revision and clarification; therefore be it</w:t>
      </w:r>
    </w:p>
    <w:p>
      <w:pPr>
        <w:pStyle w:val="Normal"/>
        <w:jc w:val="both"/>
        <w:rPr>
          <w:rFonts w:ascii="Liberation Sans" w:hAnsi="Liberation Sans"/>
          <w:sz w:val="22"/>
          <w:szCs w:val="22"/>
        </w:rPr>
      </w:pPr>
      <w:r>
        <w:rPr>
          <w:rFonts w:ascii="Liberation Sans" w:hAnsi="Liberation Sans"/>
          <w:sz w:val="22"/>
          <w:szCs w:val="22"/>
        </w:rPr>
      </w:r>
    </w:p>
    <w:p>
      <w:pPr>
        <w:pStyle w:val="Normal"/>
        <w:rPr>
          <w:rFonts w:ascii="Liberation Sans" w:hAnsi="Liberation Sans"/>
          <w:sz w:val="22"/>
          <w:szCs w:val="22"/>
        </w:rPr>
      </w:pPr>
      <w:r>
        <w:rPr>
          <w:rFonts w:ascii="Liberation Sans" w:hAnsi="Liberation Sans"/>
          <w:sz w:val="22"/>
          <w:szCs w:val="22"/>
        </w:rPr>
      </w:r>
    </w:p>
    <w:p>
      <w:pPr>
        <w:pStyle w:val="Normal"/>
        <w:rPr>
          <w:rFonts w:ascii="Liberation Sans" w:hAnsi="Liberation Sans"/>
          <w:sz w:val="22"/>
          <w:szCs w:val="22"/>
        </w:rPr>
      </w:pPr>
      <w:r>
        <w:rPr>
          <w:rFonts w:ascii="Liberation Sans" w:hAnsi="Liberation Sans"/>
          <w:sz w:val="22"/>
          <w:szCs w:val="22"/>
        </w:rPr>
      </w:r>
    </w:p>
    <w:p>
      <w:pPr>
        <w:pStyle w:val="Normal"/>
        <w:rPr>
          <w:rFonts w:ascii="Liberation Sans" w:hAnsi="Liberation Sans"/>
          <w:sz w:val="22"/>
          <w:szCs w:val="22"/>
        </w:rPr>
      </w:pPr>
      <w:r>
        <w:rPr>
          <w:rFonts w:ascii="Liberation Sans" w:hAnsi="Liberation Sans"/>
          <w:sz w:val="22"/>
          <w:szCs w:val="22"/>
        </w:rPr>
      </w:r>
    </w:p>
    <w:p>
      <w:pPr>
        <w:pStyle w:val="Normal"/>
        <w:jc w:val="both"/>
        <w:rPr>
          <w:rFonts w:ascii="Liberation Sans" w:hAnsi="Liberation Sans"/>
          <w:sz w:val="22"/>
          <w:szCs w:val="22"/>
        </w:rPr>
      </w:pPr>
      <w:r>
        <w:rPr>
          <w:rFonts w:ascii="Liberation Sans" w:hAnsi="Liberation Sans"/>
          <w:b/>
          <w:bCs/>
          <w:sz w:val="22"/>
          <w:szCs w:val="22"/>
        </w:rPr>
        <w:t>Resolved</w:t>
      </w:r>
      <w:r>
        <w:rPr>
          <w:rFonts w:ascii="Liberation Sans" w:hAnsi="Liberation Sans"/>
          <w:sz w:val="22"/>
          <w:szCs w:val="22"/>
        </w:rPr>
        <w:t xml:space="preserve"> that a conditionally-approved college-wide governance committee operating under the name </w:t>
      </w:r>
      <w:r>
        <w:rPr>
          <w:rFonts w:ascii="Liberation Sans" w:hAnsi="Liberation Sans"/>
          <w:i/>
          <w:iCs/>
          <w:sz w:val="22"/>
          <w:szCs w:val="22"/>
        </w:rPr>
        <w:t>Governance Coordinating Body</w:t>
      </w:r>
      <w:r>
        <w:rPr>
          <w:rFonts w:ascii="Liberation Sans" w:hAnsi="Liberation Sans"/>
          <w:sz w:val="22"/>
          <w:szCs w:val="22"/>
        </w:rPr>
        <w:t xml:space="preserve"> (GCB) will convene for one academic year (2019-2020) and governed by the proposed Constitution of Fall 2018; and be it further</w:t>
      </w:r>
    </w:p>
    <w:p>
      <w:pPr>
        <w:pStyle w:val="Normal"/>
        <w:jc w:val="both"/>
        <w:rPr>
          <w:rFonts w:ascii="Liberation Sans" w:hAnsi="Liberation Sans"/>
          <w:sz w:val="22"/>
          <w:szCs w:val="22"/>
        </w:rPr>
      </w:pPr>
      <w:r>
        <w:rPr>
          <w:rFonts w:ascii="Liberation Sans" w:hAnsi="Liberation Sans"/>
          <w:b/>
          <w:bCs/>
          <w:sz w:val="22"/>
          <w:szCs w:val="22"/>
        </w:rPr>
        <w:t>Resolved</w:t>
      </w:r>
      <w:r>
        <w:rPr>
          <w:rFonts w:ascii="Liberation Sans" w:hAnsi="Liberation Sans"/>
          <w:sz w:val="22"/>
          <w:szCs w:val="22"/>
        </w:rPr>
        <w:t xml:space="preserve"> that GCB representative teams from each campus; Assembly, Senate, and Congress, and in consultation with the entire GCB membership, will need to conduct separate assessments to present to the chairpersons of the respective bodies (2 weeks prior to the last meeting of the governance bodies) to be shared with their respective governance bodies at the last meeting of the 2020; and be it further</w:t>
      </w:r>
    </w:p>
    <w:p>
      <w:pPr>
        <w:pStyle w:val="Normal"/>
        <w:jc w:val="both"/>
        <w:rPr>
          <w:rFonts w:ascii="Liberation Sans" w:hAnsi="Liberation Sans"/>
          <w:sz w:val="22"/>
          <w:szCs w:val="22"/>
        </w:rPr>
      </w:pPr>
      <w:r>
        <w:rPr>
          <w:rFonts w:ascii="Liberation Sans" w:hAnsi="Liberation Sans"/>
          <w:b/>
          <w:bCs/>
          <w:sz w:val="22"/>
          <w:szCs w:val="22"/>
        </w:rPr>
        <w:t>Resolved</w:t>
      </w:r>
      <w:r>
        <w:rPr>
          <w:rFonts w:ascii="Liberation Sans" w:hAnsi="Liberation Sans"/>
          <w:sz w:val="22"/>
          <w:szCs w:val="22"/>
        </w:rPr>
        <w:t xml:space="preserve"> that the CGB campus-representative team assessment report will:</w:t>
      </w:r>
    </w:p>
    <w:p>
      <w:pPr>
        <w:pStyle w:val="Normal"/>
        <w:numPr>
          <w:ilvl w:val="0"/>
          <w:numId w:val="1"/>
        </w:numPr>
        <w:jc w:val="both"/>
        <w:rPr/>
      </w:pPr>
      <w:r>
        <w:rPr>
          <w:rFonts w:ascii="Liberation Sans" w:hAnsi="Liberation Sans"/>
          <w:sz w:val="22"/>
          <w:szCs w:val="22"/>
        </w:rPr>
        <w:t>Clarify the CGB charge and purpose;</w:t>
      </w:r>
    </w:p>
    <w:p>
      <w:pPr>
        <w:pStyle w:val="Normal"/>
        <w:numPr>
          <w:ilvl w:val="0"/>
          <w:numId w:val="1"/>
        </w:numPr>
        <w:jc w:val="both"/>
        <w:rPr/>
      </w:pPr>
      <w:r>
        <w:rPr>
          <w:rFonts w:ascii="Liberation Sans" w:hAnsi="Liberation Sans"/>
          <w:sz w:val="22"/>
          <w:szCs w:val="22"/>
        </w:rPr>
        <w:t>Evaluate satisfaction of college-wide faculty regarding issues of equity, participation, communication, and perceived value and scheduling of meetings of the CGB;</w:t>
      </w:r>
    </w:p>
    <w:p>
      <w:pPr>
        <w:pStyle w:val="Normal"/>
        <w:numPr>
          <w:ilvl w:val="0"/>
          <w:numId w:val="1"/>
        </w:numPr>
        <w:jc w:val="both"/>
        <w:rPr/>
      </w:pPr>
      <w:r>
        <w:rPr>
          <w:rFonts w:ascii="Liberation Sans" w:hAnsi="Liberation Sans"/>
          <w:sz w:val="22"/>
          <w:szCs w:val="22"/>
        </w:rPr>
        <w:t>Assess the effectiveness of CGB interaction, communication, and collaboration with college administration; and be it further</w:t>
      </w:r>
    </w:p>
    <w:p>
      <w:pPr>
        <w:pStyle w:val="Normal"/>
        <w:jc w:val="both"/>
        <w:rPr>
          <w:rFonts w:ascii="Liberation Sans" w:hAnsi="Liberation Sans"/>
          <w:sz w:val="22"/>
          <w:szCs w:val="22"/>
        </w:rPr>
      </w:pPr>
      <w:r>
        <w:rPr>
          <w:rFonts w:ascii="Liberation Sans" w:hAnsi="Liberation Sans"/>
          <w:b/>
          <w:bCs/>
          <w:sz w:val="22"/>
          <w:szCs w:val="22"/>
        </w:rPr>
        <w:t>Resolved</w:t>
      </w:r>
      <w:r>
        <w:rPr>
          <w:rFonts w:ascii="Liberation Sans" w:hAnsi="Liberation Sans"/>
          <w:sz w:val="22"/>
          <w:szCs w:val="22"/>
        </w:rPr>
        <w:t xml:space="preserve"> that the Governance Coordinating Body will present a new resolution to the chairpersons of the respective bodies (2 weeks prior to the last meeting of the governance bodies) to be voted on by the three campus governance bodies at the last meeting of the 2020 academic year, in order to achieve permanent status; and be it further</w:t>
      </w:r>
    </w:p>
    <w:p>
      <w:pPr>
        <w:pStyle w:val="Normal"/>
        <w:jc w:val="both"/>
        <w:rPr>
          <w:rFonts w:ascii="Liberation Sans" w:hAnsi="Liberation Sans"/>
          <w:sz w:val="22"/>
          <w:szCs w:val="22"/>
        </w:rPr>
      </w:pPr>
      <w:r>
        <w:rPr>
          <w:rFonts w:ascii="Liberation Sans" w:hAnsi="Liberation Sans"/>
          <w:b/>
          <w:bCs/>
          <w:sz w:val="22"/>
          <w:szCs w:val="22"/>
        </w:rPr>
        <w:t>Resolved</w:t>
      </w:r>
      <w:r>
        <w:rPr>
          <w:rFonts w:ascii="Liberation Sans" w:hAnsi="Liberation Sans"/>
          <w:sz w:val="22"/>
          <w:szCs w:val="22"/>
        </w:rPr>
        <w:t xml:space="preserve"> that the Grant Campus Academic Assembly conditionally authorizes the Governance Coordinating Body to operate for one academic year (2019-2020) as governed by the proposed Constitution.</w:t>
      </w:r>
    </w:p>
    <w:p>
      <w:pPr>
        <w:pStyle w:val="Normal"/>
        <w:jc w:val="both"/>
        <w:rPr>
          <w:rFonts w:ascii="Liberation Sans" w:hAnsi="Liberation Sans"/>
          <w:sz w:val="22"/>
          <w:szCs w:val="22"/>
        </w:rPr>
      </w:pPr>
      <w:r>
        <w:rPr>
          <w:rFonts w:ascii="Liberation Sans" w:hAnsi="Liberation Sans"/>
          <w:sz w:val="22"/>
          <w:szCs w:val="22"/>
        </w:rPr>
      </w:r>
    </w:p>
    <w:p>
      <w:pPr>
        <w:pStyle w:val="Normal"/>
        <w:jc w:val="both"/>
        <w:rPr>
          <w:rFonts w:ascii="Liberation Sans" w:hAnsi="Liberation Sans"/>
          <w:sz w:val="22"/>
          <w:szCs w:val="22"/>
        </w:rPr>
      </w:pPr>
      <w:r>
        <w:rPr>
          <w:rFonts w:ascii="Liberation Sans" w:hAnsi="Liberation Sans"/>
          <w:sz w:val="22"/>
          <w:szCs w:val="22"/>
        </w:rPr>
      </w:r>
    </w:p>
    <w:p>
      <w:pPr>
        <w:pStyle w:val="Normal"/>
        <w:jc w:val="both"/>
        <w:rPr>
          <w:rFonts w:ascii="Liberation Sans" w:hAnsi="Liberation Sans"/>
          <w:sz w:val="22"/>
          <w:szCs w:val="22"/>
        </w:rPr>
      </w:pPr>
      <w:r>
        <w:rPr>
          <w:rFonts w:ascii="Liberation Sans" w:hAnsi="Liberation Sans"/>
          <w:sz w:val="22"/>
          <w:szCs w:val="22"/>
        </w:rPr>
      </w:r>
    </w:p>
    <w:p>
      <w:pPr>
        <w:pStyle w:val="Normal"/>
        <w:jc w:val="both"/>
        <w:rPr>
          <w:rFonts w:ascii="Liberation Sans" w:hAnsi="Liberation Sans"/>
          <w:sz w:val="22"/>
          <w:szCs w:val="22"/>
        </w:rPr>
      </w:pPr>
      <w:r>
        <w:rPr>
          <w:rFonts w:ascii="Liberation Sans" w:hAnsi="Liberation Sans"/>
          <w:sz w:val="22"/>
          <w:szCs w:val="22"/>
        </w:rPr>
      </w:r>
    </w:p>
    <w:p>
      <w:pPr>
        <w:pStyle w:val="Normal"/>
        <w:jc w:val="both"/>
        <w:rPr>
          <w:rFonts w:ascii="Liberation Sans" w:hAnsi="Liberation Sans"/>
          <w:sz w:val="22"/>
          <w:szCs w:val="22"/>
        </w:rPr>
      </w:pPr>
      <w:r>
        <w:rPr>
          <w:rFonts w:ascii="Liberation Sans" w:hAnsi="Liberation Sans"/>
          <w:sz w:val="22"/>
          <w:szCs w:val="22"/>
        </w:rPr>
      </w:r>
    </w:p>
    <w:p>
      <w:pPr>
        <w:pStyle w:val="Normal"/>
        <w:jc w:val="both"/>
        <w:rPr>
          <w:rFonts w:ascii="Liberation Sans" w:hAnsi="Liberation Sans"/>
          <w:sz w:val="22"/>
          <w:szCs w:val="22"/>
        </w:rPr>
      </w:pPr>
      <w:r>
        <w:rPr>
          <w:rFonts w:ascii="Liberation Sans" w:hAnsi="Liberation Sans"/>
          <w:sz w:val="22"/>
          <w:szCs w:val="22"/>
        </w:rPr>
      </w:r>
    </w:p>
    <w:p>
      <w:pPr>
        <w:pStyle w:val="Normal"/>
        <w:jc w:val="both"/>
        <w:rPr>
          <w:rFonts w:ascii="Liberation Sans" w:hAnsi="Liberation Sans"/>
          <w:sz w:val="22"/>
          <w:szCs w:val="22"/>
        </w:rPr>
      </w:pPr>
      <w:r>
        <w:rPr>
          <w:rFonts w:ascii="Liberation Sans" w:hAnsi="Liberation Sans"/>
          <w:sz w:val="22"/>
          <w:szCs w:val="22"/>
        </w:rPr>
      </w:r>
    </w:p>
    <w:p>
      <w:pPr>
        <w:pStyle w:val="Normal"/>
        <w:jc w:val="both"/>
        <w:rPr>
          <w:rFonts w:ascii="Liberation Sans" w:hAnsi="Liberation Sans"/>
          <w:sz w:val="22"/>
          <w:szCs w:val="22"/>
        </w:rPr>
      </w:pPr>
      <w:r>
        <w:rPr>
          <w:rFonts w:ascii="Liberation Sans" w:hAnsi="Liberation Sans"/>
          <w:sz w:val="22"/>
          <w:szCs w:val="22"/>
        </w:rPr>
      </w:r>
    </w:p>
    <w:p>
      <w:pPr>
        <w:pStyle w:val="Normal"/>
        <w:pBdr>
          <w:bottom w:val="single" w:sz="8" w:space="2" w:color="000000"/>
        </w:pBdr>
        <w:jc w:val="both"/>
        <w:rPr>
          <w:rFonts w:ascii="Liberation Sans" w:hAnsi="Liberation Sans"/>
          <w:sz w:val="22"/>
          <w:szCs w:val="22"/>
        </w:rPr>
      </w:pPr>
      <w:r>
        <w:rPr/>
      </w:r>
    </w:p>
    <w:p>
      <w:pPr>
        <w:pStyle w:val="Normal"/>
        <w:widowControl/>
        <w:bidi w:val="0"/>
        <w:spacing w:lineRule="auto" w:line="276" w:before="0" w:after="200"/>
        <w:jc w:val="both"/>
        <w:rPr/>
      </w:pPr>
      <w:bookmarkStart w:id="0" w:name="__DdeLink__1848_216306462"/>
      <w:bookmarkEnd w:id="0"/>
      <w:r>
        <w:rPr>
          <w:rFonts w:ascii="Liberation Sans" w:hAnsi="Liberation Sans"/>
          <w:sz w:val="22"/>
          <w:szCs w:val="22"/>
        </w:rPr>
        <w:t>Failed [6-31-5] on April 9, 2019</w:t>
      </w:r>
    </w:p>
    <w:sectPr>
      <w:type w:val="nextPage"/>
      <w:pgSz w:w="12240" w:h="15840"/>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Trebuchet MS">
    <w:charset w:val="01"/>
    <w:family w:val="roman"/>
    <w:pitch w:val="variable"/>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en-US" w:eastAsia="en-US" w:bidi="ar-SA"/>
    </w:rPr>
  </w:style>
  <w:style w:type="paragraph" w:styleId="Heading2">
    <w:name w:val="Heading 2"/>
    <w:basedOn w:val="Heading"/>
    <w:qFormat/>
    <w:pPr/>
    <w:rPr/>
  </w:style>
  <w:style w:type="character" w:styleId="DefaultParagraphFont" w:default="1">
    <w:name w:val="Default Paragraph Font"/>
    <w:uiPriority w:val="1"/>
    <w:semiHidden/>
    <w:unhideWhenUsed/>
    <w:qFormat/>
    <w:rPr/>
  </w:style>
  <w:style w:type="character" w:styleId="Bullets">
    <w:name w:val="Bullets"/>
    <w:qFormat/>
    <w:rPr>
      <w:rFonts w:ascii="OpenSymbol" w:hAnsi="OpenSymbol" w:eastAsia="OpenSymbol" w:cs="OpenSymbol"/>
    </w:rPr>
  </w:style>
  <w:style w:type="character" w:styleId="ListLabel1">
    <w:name w:val="ListLabel 1"/>
    <w:qFormat/>
    <w:rPr>
      <w:rFonts w:cs="OpenSymbol"/>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cs="OpenSymbol"/>
    </w:rPr>
  </w:style>
  <w:style w:type="character" w:styleId="ListLabel11">
    <w:name w:val="ListLabel 11"/>
    <w:qFormat/>
    <w:rPr>
      <w:rFonts w:cs="OpenSymbol"/>
    </w:rPr>
  </w:style>
  <w:style w:type="character" w:styleId="ListLabel12">
    <w:name w:val="ListLabel 12"/>
    <w:qFormat/>
    <w:rPr>
      <w:rFonts w:cs="OpenSymbol"/>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character" w:styleId="ListLabel19">
    <w:name w:val="ListLabel 19"/>
    <w:qFormat/>
    <w:rPr>
      <w:rFonts w:cs="OpenSymbol"/>
    </w:rPr>
  </w:style>
  <w:style w:type="character" w:styleId="ListLabel20">
    <w:name w:val="ListLabel 20"/>
    <w:qFormat/>
    <w:rPr>
      <w:rFonts w:cs="OpenSymbol"/>
    </w:rPr>
  </w:style>
  <w:style w:type="character" w:styleId="ListLabel21">
    <w:name w:val="ListLabel 21"/>
    <w:qFormat/>
    <w:rPr>
      <w:rFonts w:cs="OpenSymbol"/>
    </w:rPr>
  </w:style>
  <w:style w:type="character" w:styleId="ListLabel22">
    <w:name w:val="ListLabel 22"/>
    <w:qFormat/>
    <w:rPr>
      <w:rFonts w:cs="OpenSymbol"/>
    </w:rPr>
  </w:style>
  <w:style w:type="character" w:styleId="ListLabel23">
    <w:name w:val="ListLabel 23"/>
    <w:qFormat/>
    <w:rPr>
      <w:rFonts w:cs="OpenSymbol"/>
    </w:rPr>
  </w:style>
  <w:style w:type="character" w:styleId="ListLabel24">
    <w:name w:val="ListLabel 24"/>
    <w:qFormat/>
    <w:rPr>
      <w:rFonts w:cs="OpenSymbol"/>
    </w:rPr>
  </w:style>
  <w:style w:type="character" w:styleId="ListLabel25">
    <w:name w:val="ListLabel 25"/>
    <w:qFormat/>
    <w:rPr>
      <w:rFonts w:cs="OpenSymbol"/>
    </w:rPr>
  </w:style>
  <w:style w:type="character" w:styleId="ListLabel26">
    <w:name w:val="ListLabel 26"/>
    <w:qFormat/>
    <w:rPr>
      <w:rFonts w:cs="OpenSymbol"/>
    </w:rPr>
  </w:style>
  <w:style w:type="character" w:styleId="ListLabel27">
    <w:name w:val="ListLabel 27"/>
    <w:qFormat/>
    <w:rPr>
      <w:rFonts w:cs="OpenSymbol"/>
    </w:rPr>
  </w:style>
  <w:style w:type="paragraph" w:styleId="Heading">
    <w:name w:val="Heading"/>
    <w:basedOn w:val="Normal"/>
    <w:next w:val="TextBody"/>
    <w:qFormat/>
    <w:pPr>
      <w:keepNext/>
      <w:spacing w:before="240" w:after="120"/>
    </w:pPr>
    <w:rPr>
      <w:rFonts w:ascii="Liberation Sans" w:hAnsi="Liberation Sans" w:eastAsia="Noto Sans CJK SC Regular" w:cs="Garg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Gargi"/>
    </w:rPr>
  </w:style>
  <w:style w:type="paragraph" w:styleId="Caption">
    <w:name w:val="Caption"/>
    <w:basedOn w:val="Normal"/>
    <w:qFormat/>
    <w:pPr>
      <w:suppressLineNumbers/>
      <w:spacing w:before="120" w:after="120"/>
    </w:pPr>
    <w:rPr>
      <w:rFonts w:cs="Gargi"/>
      <w:i/>
      <w:iCs/>
      <w:sz w:val="24"/>
      <w:szCs w:val="24"/>
    </w:rPr>
  </w:style>
  <w:style w:type="paragraph" w:styleId="Index">
    <w:name w:val="Index"/>
    <w:basedOn w:val="Normal"/>
    <w:qFormat/>
    <w:pPr>
      <w:suppressLineNumbers/>
    </w:pPr>
    <w:rPr>
      <w:rFonts w:cs="Gargi"/>
    </w:rPr>
  </w:style>
  <w:style w:type="paragraph" w:styleId="Pa27">
    <w:name w:val="Pa27"/>
    <w:basedOn w:val="Normal"/>
    <w:next w:val="Normal"/>
    <w:qFormat/>
    <w:pPr>
      <w:spacing w:lineRule="atLeast" w:line="201" w:before="0" w:after="0"/>
    </w:pPr>
    <w:rPr>
      <w:rFonts w:ascii="Trebuchet MS" w:hAnsi="Trebuchet MS"/>
      <w:sz w:val="24"/>
      <w:szCs w:val="24"/>
    </w:rPr>
  </w:style>
  <w:style w:type="paragraph" w:styleId="Pa23">
    <w:name w:val="Pa23"/>
    <w:basedOn w:val="Normal"/>
    <w:next w:val="Normal"/>
    <w:qFormat/>
    <w:pPr>
      <w:spacing w:lineRule="atLeast" w:line="181" w:before="0" w:after="0"/>
    </w:pPr>
    <w:rPr>
      <w:rFonts w:ascii="Trebuchet MS" w:hAnsi="Trebuchet MS"/>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Application>LibreOffice/5.2.7.2$Linux_X86_64 LibreOffice_project/20m0$Build-2</Application>
  <Pages>2</Pages>
  <Words>409</Words>
  <Characters>2331</Characters>
  <CharactersWithSpaces>2720</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2019-03-06T16:27:00Z</dcterms:created>
  <dc:creator>Janet</dc:creator>
  <dc:description/>
  <dc:language>en-US</dc:language>
  <cp:lastModifiedBy/>
  <dcterms:modified xsi:type="dcterms:W3CDTF">2020-01-26T23:11:42Z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